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5AE" w:rsidRPr="005F05AE" w:rsidRDefault="00552D0F" w:rsidP="00F87484">
      <w:pPr>
        <w:pStyle w:val="Title"/>
      </w:pPr>
      <w:r>
        <w:t xml:space="preserve">Power of Choice </w:t>
      </w:r>
      <w:r w:rsidR="00953B06">
        <w:t xml:space="preserve">– </w:t>
      </w:r>
      <w:r>
        <w:t>EN&amp;MC Industry testing</w:t>
      </w:r>
      <w:r w:rsidR="00674E47">
        <w:t xml:space="preserve"> </w:t>
      </w:r>
      <w:r w:rsidR="0006265D">
        <w:t>Test Summary</w:t>
      </w:r>
      <w:r w:rsidR="003A5543">
        <w:t xml:space="preserve"> report</w:t>
      </w:r>
    </w:p>
    <w:p w:rsidR="009D498E" w:rsidRDefault="009D498E" w:rsidP="002B18E9">
      <w:pPr>
        <w:pStyle w:val="Subtitle"/>
      </w:pPr>
      <w:r w:rsidRPr="002B18E9">
        <w:t>PREPARED BY:</w:t>
      </w:r>
      <w:r w:rsidR="00824D5D">
        <w:tab/>
      </w:r>
      <w:r w:rsidR="0053672A">
        <w:t>AEMO</w:t>
      </w:r>
    </w:p>
    <w:p w:rsidR="009D498E" w:rsidRDefault="009D498E" w:rsidP="002B18E9">
      <w:pPr>
        <w:pStyle w:val="Subtitle"/>
      </w:pPr>
      <w:r>
        <w:t>DOCUMENT REF:</w:t>
      </w:r>
      <w:r>
        <w:tab/>
      </w:r>
    </w:p>
    <w:p w:rsidR="009D498E" w:rsidRPr="004F07EE" w:rsidRDefault="00997FD9" w:rsidP="004F07EE">
      <w:pPr>
        <w:pStyle w:val="Subtitle"/>
      </w:pPr>
      <w:r>
        <w:t>VERSION</w:t>
      </w:r>
      <w:r w:rsidR="009D498E" w:rsidRPr="004F07EE">
        <w:t>:</w:t>
      </w:r>
      <w:r w:rsidR="009D498E" w:rsidRPr="004F07EE">
        <w:tab/>
      </w:r>
      <w:r w:rsidR="00F90563">
        <w:t>1</w:t>
      </w:r>
    </w:p>
    <w:p w:rsidR="009D498E" w:rsidRDefault="000D34E8" w:rsidP="002B18E9">
      <w:pPr>
        <w:pStyle w:val="Subtitle"/>
      </w:pPr>
      <w:r>
        <w:t>DATE:</w:t>
      </w:r>
      <w:r w:rsidR="004B70AE">
        <w:tab/>
      </w:r>
      <w:r w:rsidR="0006265D">
        <w:t>03</w:t>
      </w:r>
      <w:r w:rsidR="007241AE">
        <w:t xml:space="preserve"> Ju</w:t>
      </w:r>
      <w:r w:rsidR="0006265D">
        <w:t>ly</w:t>
      </w:r>
      <w:r w:rsidR="00AF0796">
        <w:t xml:space="preserve"> </w:t>
      </w:r>
      <w:r w:rsidR="000D4758">
        <w:t>20</w:t>
      </w:r>
      <w:r w:rsidR="00824D5D">
        <w:t>1</w:t>
      </w:r>
      <w:r w:rsidR="00552D0F">
        <w:t>7</w:t>
      </w:r>
    </w:p>
    <w:p w:rsidR="009D498E" w:rsidRPr="00116133" w:rsidRDefault="00D51AAA" w:rsidP="00116133">
      <w:pPr>
        <w:pStyle w:val="Subtitle"/>
      </w:pPr>
      <w:r>
        <w:t>Draft</w:t>
      </w:r>
    </w:p>
    <w:p w:rsidR="009D498E" w:rsidRDefault="009D498E">
      <w:pPr>
        <w:sectPr w:rsidR="009D498E" w:rsidSect="000C6A51">
          <w:headerReference w:type="default" r:id="rId16"/>
          <w:footerReference w:type="default" r:id="rId17"/>
          <w:pgSz w:w="11906" w:h="16838"/>
          <w:pgMar w:top="1701" w:right="851" w:bottom="851" w:left="1134" w:header="720" w:footer="897" w:gutter="0"/>
          <w:cols w:space="720"/>
          <w:docGrid w:linePitch="360"/>
        </w:sectPr>
      </w:pPr>
    </w:p>
    <w:p w:rsidR="00F6736A" w:rsidRDefault="00F6736A">
      <w:pPr>
        <w:rPr>
          <w:sz w:val="36"/>
        </w:rPr>
      </w:pPr>
      <w:bookmarkStart w:id="0" w:name="_Toc241997935"/>
      <w:bookmarkStart w:id="1" w:name="_Toc242156928"/>
      <w:bookmarkStart w:id="2" w:name="_Toc242157043"/>
    </w:p>
    <w:p w:rsidR="0028012A" w:rsidRPr="007E77E2" w:rsidRDefault="0028012A" w:rsidP="007E77E2">
      <w:pPr>
        <w:pStyle w:val="TOCTitle"/>
      </w:pPr>
      <w:r w:rsidRPr="007E77E2">
        <w:t>Contents</w:t>
      </w:r>
      <w:bookmarkEnd w:id="0"/>
      <w:bookmarkEnd w:id="1"/>
      <w:bookmarkEnd w:id="2"/>
    </w:p>
    <w:bookmarkStart w:id="3" w:name="_GoBack"/>
    <w:bookmarkEnd w:id="3"/>
    <w:p w:rsidR="00515A5C" w:rsidRDefault="00AF762F">
      <w:pPr>
        <w:pStyle w:val="TOC2"/>
        <w:rPr>
          <w:rFonts w:asciiTheme="minorHAnsi" w:eastAsiaTheme="minorEastAsia" w:hAnsiTheme="minorHAnsi" w:cstheme="minorBidi"/>
          <w:color w:val="auto"/>
          <w:lang w:eastAsia="en-AU"/>
        </w:rPr>
      </w:pPr>
      <w:r>
        <w:rPr>
          <w:sz w:val="24"/>
          <w:szCs w:val="24"/>
        </w:rPr>
        <w:fldChar w:fldCharType="begin"/>
      </w:r>
      <w:r w:rsidR="0028012A">
        <w:instrText xml:space="preserve"> TOC \o "1-</w:instrText>
      </w:r>
      <w:r w:rsidR="00C02B21">
        <w:instrText>3</w:instrText>
      </w:r>
      <w:r w:rsidR="0028012A">
        <w:instrText xml:space="preserve">" \h \z \u </w:instrText>
      </w:r>
      <w:r>
        <w:rPr>
          <w:sz w:val="24"/>
          <w:szCs w:val="24"/>
        </w:rPr>
        <w:fldChar w:fldCharType="separate"/>
      </w:r>
      <w:hyperlink w:anchor="_Toc486859701" w:history="1">
        <w:r w:rsidR="00515A5C" w:rsidRPr="00D33B17">
          <w:rPr>
            <w:rStyle w:val="Hyperlink"/>
          </w:rPr>
          <w:t>1.1</w:t>
        </w:r>
        <w:r w:rsidR="00515A5C">
          <w:rPr>
            <w:rFonts w:asciiTheme="minorHAnsi" w:eastAsiaTheme="minorEastAsia" w:hAnsiTheme="minorHAnsi" w:cstheme="minorBidi"/>
            <w:color w:val="auto"/>
            <w:lang w:eastAsia="en-AU"/>
          </w:rPr>
          <w:tab/>
        </w:r>
        <w:r w:rsidR="00515A5C" w:rsidRPr="00D33B17">
          <w:rPr>
            <w:rStyle w:val="Hyperlink"/>
          </w:rPr>
          <w:t>Intended Audience</w:t>
        </w:r>
        <w:r w:rsidR="00515A5C">
          <w:rPr>
            <w:webHidden/>
          </w:rPr>
          <w:tab/>
        </w:r>
        <w:r w:rsidR="00515A5C">
          <w:rPr>
            <w:webHidden/>
          </w:rPr>
          <w:fldChar w:fldCharType="begin"/>
        </w:r>
        <w:r w:rsidR="00515A5C">
          <w:rPr>
            <w:webHidden/>
          </w:rPr>
          <w:instrText xml:space="preserve"> PAGEREF _Toc486859701 \h </w:instrText>
        </w:r>
        <w:r w:rsidR="00515A5C">
          <w:rPr>
            <w:webHidden/>
          </w:rPr>
        </w:r>
        <w:r w:rsidR="00515A5C">
          <w:rPr>
            <w:webHidden/>
          </w:rPr>
          <w:fldChar w:fldCharType="separate"/>
        </w:r>
        <w:r w:rsidR="00515A5C">
          <w:rPr>
            <w:webHidden/>
          </w:rPr>
          <w:t>3</w:t>
        </w:r>
        <w:r w:rsidR="00515A5C">
          <w:rPr>
            <w:webHidden/>
          </w:rPr>
          <w:fldChar w:fldCharType="end"/>
        </w:r>
      </w:hyperlink>
    </w:p>
    <w:p w:rsidR="00515A5C" w:rsidRDefault="00515A5C">
      <w:pPr>
        <w:pStyle w:val="TOC2"/>
        <w:rPr>
          <w:rFonts w:asciiTheme="minorHAnsi" w:eastAsiaTheme="minorEastAsia" w:hAnsiTheme="minorHAnsi" w:cstheme="minorBidi"/>
          <w:color w:val="auto"/>
          <w:lang w:eastAsia="en-AU"/>
        </w:rPr>
      </w:pPr>
      <w:hyperlink w:anchor="_Toc486859702" w:history="1">
        <w:r w:rsidRPr="00D33B17">
          <w:rPr>
            <w:rStyle w:val="Hyperlink"/>
          </w:rPr>
          <w:t>1.2</w:t>
        </w:r>
        <w:r>
          <w:rPr>
            <w:rFonts w:asciiTheme="minorHAnsi" w:eastAsiaTheme="minorEastAsia" w:hAnsiTheme="minorHAnsi" w:cstheme="minorBidi"/>
            <w:color w:val="auto"/>
            <w:lang w:eastAsia="en-AU"/>
          </w:rPr>
          <w:tab/>
        </w:r>
        <w:r w:rsidRPr="00D33B17">
          <w:rPr>
            <w:rStyle w:val="Hyperlink"/>
          </w:rPr>
          <w:t>Test Execution Summary by Participants</w:t>
        </w:r>
        <w:r>
          <w:rPr>
            <w:webHidden/>
          </w:rPr>
          <w:tab/>
        </w:r>
        <w:r>
          <w:rPr>
            <w:webHidden/>
          </w:rPr>
          <w:fldChar w:fldCharType="begin"/>
        </w:r>
        <w:r>
          <w:rPr>
            <w:webHidden/>
          </w:rPr>
          <w:instrText xml:space="preserve"> PAGEREF _Toc486859702 \h </w:instrText>
        </w:r>
        <w:r>
          <w:rPr>
            <w:webHidden/>
          </w:rPr>
        </w:r>
        <w:r>
          <w:rPr>
            <w:webHidden/>
          </w:rPr>
          <w:fldChar w:fldCharType="separate"/>
        </w:r>
        <w:r>
          <w:rPr>
            <w:webHidden/>
          </w:rPr>
          <w:t>4</w:t>
        </w:r>
        <w:r>
          <w:rPr>
            <w:webHidden/>
          </w:rPr>
          <w:fldChar w:fldCharType="end"/>
        </w:r>
      </w:hyperlink>
    </w:p>
    <w:p w:rsidR="00515A5C" w:rsidRDefault="00515A5C">
      <w:pPr>
        <w:pStyle w:val="TOC2"/>
        <w:rPr>
          <w:rFonts w:asciiTheme="minorHAnsi" w:eastAsiaTheme="minorEastAsia" w:hAnsiTheme="minorHAnsi" w:cstheme="minorBidi"/>
          <w:color w:val="auto"/>
          <w:lang w:eastAsia="en-AU"/>
        </w:rPr>
      </w:pPr>
      <w:hyperlink w:anchor="_Toc486859703" w:history="1">
        <w:r w:rsidRPr="00D33B17">
          <w:rPr>
            <w:rStyle w:val="Hyperlink"/>
          </w:rPr>
          <w:t>1.3</w:t>
        </w:r>
        <w:r>
          <w:rPr>
            <w:rFonts w:asciiTheme="minorHAnsi" w:eastAsiaTheme="minorEastAsia" w:hAnsiTheme="minorHAnsi" w:cstheme="minorBidi"/>
            <w:color w:val="auto"/>
            <w:lang w:eastAsia="en-AU"/>
          </w:rPr>
          <w:tab/>
        </w:r>
        <w:r w:rsidRPr="00D33B17">
          <w:rPr>
            <w:rStyle w:val="Hyperlink"/>
          </w:rPr>
          <w:t>Issues &amp; Risks</w:t>
        </w:r>
        <w:r>
          <w:rPr>
            <w:webHidden/>
          </w:rPr>
          <w:tab/>
        </w:r>
        <w:r>
          <w:rPr>
            <w:webHidden/>
          </w:rPr>
          <w:fldChar w:fldCharType="begin"/>
        </w:r>
        <w:r>
          <w:rPr>
            <w:webHidden/>
          </w:rPr>
          <w:instrText xml:space="preserve"> PAGEREF _Toc486859703 \h </w:instrText>
        </w:r>
        <w:r>
          <w:rPr>
            <w:webHidden/>
          </w:rPr>
        </w:r>
        <w:r>
          <w:rPr>
            <w:webHidden/>
          </w:rPr>
          <w:fldChar w:fldCharType="separate"/>
        </w:r>
        <w:r>
          <w:rPr>
            <w:webHidden/>
          </w:rPr>
          <w:t>5</w:t>
        </w:r>
        <w:r>
          <w:rPr>
            <w:webHidden/>
          </w:rPr>
          <w:fldChar w:fldCharType="end"/>
        </w:r>
      </w:hyperlink>
    </w:p>
    <w:p w:rsidR="00515A5C" w:rsidRDefault="00515A5C">
      <w:pPr>
        <w:pStyle w:val="TOC2"/>
        <w:rPr>
          <w:rFonts w:asciiTheme="minorHAnsi" w:eastAsiaTheme="minorEastAsia" w:hAnsiTheme="minorHAnsi" w:cstheme="minorBidi"/>
          <w:color w:val="auto"/>
          <w:lang w:eastAsia="en-AU"/>
        </w:rPr>
      </w:pPr>
      <w:hyperlink w:anchor="_Toc486859704" w:history="1">
        <w:r w:rsidRPr="00D33B17">
          <w:rPr>
            <w:rStyle w:val="Hyperlink"/>
          </w:rPr>
          <w:t>1.4</w:t>
        </w:r>
        <w:r>
          <w:rPr>
            <w:rFonts w:asciiTheme="minorHAnsi" w:eastAsiaTheme="minorEastAsia" w:hAnsiTheme="minorHAnsi" w:cstheme="minorBidi"/>
            <w:color w:val="auto"/>
            <w:lang w:eastAsia="en-AU"/>
          </w:rPr>
          <w:tab/>
        </w:r>
        <w:r w:rsidRPr="00D33B17">
          <w:rPr>
            <w:rStyle w:val="Hyperlink"/>
          </w:rPr>
          <w:t>Defect Summary by Severity versus Status</w:t>
        </w:r>
        <w:r>
          <w:rPr>
            <w:webHidden/>
          </w:rPr>
          <w:tab/>
        </w:r>
        <w:r>
          <w:rPr>
            <w:webHidden/>
          </w:rPr>
          <w:fldChar w:fldCharType="begin"/>
        </w:r>
        <w:r>
          <w:rPr>
            <w:webHidden/>
          </w:rPr>
          <w:instrText xml:space="preserve"> PAGEREF _Toc486859704 \h </w:instrText>
        </w:r>
        <w:r>
          <w:rPr>
            <w:webHidden/>
          </w:rPr>
        </w:r>
        <w:r>
          <w:rPr>
            <w:webHidden/>
          </w:rPr>
          <w:fldChar w:fldCharType="separate"/>
        </w:r>
        <w:r>
          <w:rPr>
            <w:webHidden/>
          </w:rPr>
          <w:t>6</w:t>
        </w:r>
        <w:r>
          <w:rPr>
            <w:webHidden/>
          </w:rPr>
          <w:fldChar w:fldCharType="end"/>
        </w:r>
      </w:hyperlink>
    </w:p>
    <w:p w:rsidR="00515A5C" w:rsidRDefault="00515A5C">
      <w:pPr>
        <w:pStyle w:val="TOC2"/>
        <w:rPr>
          <w:rFonts w:asciiTheme="minorHAnsi" w:eastAsiaTheme="minorEastAsia" w:hAnsiTheme="minorHAnsi" w:cstheme="minorBidi"/>
          <w:color w:val="auto"/>
          <w:lang w:eastAsia="en-AU"/>
        </w:rPr>
      </w:pPr>
      <w:hyperlink w:anchor="_Toc486859705" w:history="1">
        <w:r w:rsidRPr="00D33B17">
          <w:rPr>
            <w:rStyle w:val="Hyperlink"/>
          </w:rPr>
          <w:t>1.5</w:t>
        </w:r>
        <w:r>
          <w:rPr>
            <w:rFonts w:asciiTheme="minorHAnsi" w:eastAsiaTheme="minorEastAsia" w:hAnsiTheme="minorHAnsi" w:cstheme="minorBidi"/>
            <w:color w:val="auto"/>
            <w:lang w:eastAsia="en-AU"/>
          </w:rPr>
          <w:tab/>
        </w:r>
        <w:r w:rsidRPr="00D33B17">
          <w:rPr>
            <w:rStyle w:val="Hyperlink"/>
          </w:rPr>
          <w:t>Defect Summary by Participants versus Severity</w:t>
        </w:r>
        <w:r>
          <w:rPr>
            <w:webHidden/>
          </w:rPr>
          <w:tab/>
        </w:r>
        <w:r>
          <w:rPr>
            <w:webHidden/>
          </w:rPr>
          <w:fldChar w:fldCharType="begin"/>
        </w:r>
        <w:r>
          <w:rPr>
            <w:webHidden/>
          </w:rPr>
          <w:instrText xml:space="preserve"> PAGEREF _Toc486859705 \h </w:instrText>
        </w:r>
        <w:r>
          <w:rPr>
            <w:webHidden/>
          </w:rPr>
        </w:r>
        <w:r>
          <w:rPr>
            <w:webHidden/>
          </w:rPr>
          <w:fldChar w:fldCharType="separate"/>
        </w:r>
        <w:r>
          <w:rPr>
            <w:webHidden/>
          </w:rPr>
          <w:t>6</w:t>
        </w:r>
        <w:r>
          <w:rPr>
            <w:webHidden/>
          </w:rPr>
          <w:fldChar w:fldCharType="end"/>
        </w:r>
      </w:hyperlink>
    </w:p>
    <w:p w:rsidR="00AE5D8B" w:rsidRPr="005B1570" w:rsidRDefault="00AF762F" w:rsidP="007E77E2">
      <w:pPr>
        <w:tabs>
          <w:tab w:val="left" w:pos="9639"/>
        </w:tabs>
      </w:pPr>
      <w:r>
        <w:fldChar w:fldCharType="end"/>
      </w:r>
      <w:r w:rsidR="00AE5D8B" w:rsidRPr="0028012A">
        <w:br w:type="page"/>
      </w:r>
    </w:p>
    <w:p w:rsidR="001D3C15" w:rsidRDefault="001D3C15">
      <w:pPr>
        <w:rPr>
          <w:sz w:val="22"/>
        </w:rPr>
      </w:pPr>
    </w:p>
    <w:p w:rsidR="005A3014" w:rsidRDefault="005A3014" w:rsidP="00DD14B5">
      <w:pPr>
        <w:pStyle w:val="Heading2"/>
      </w:pPr>
      <w:bookmarkStart w:id="4" w:name="_Toc486859701"/>
      <w:r>
        <w:t>Intended Audience</w:t>
      </w:r>
      <w:bookmarkEnd w:id="4"/>
    </w:p>
    <w:tbl>
      <w:tblPr>
        <w:tblStyle w:val="TableGrid"/>
        <w:tblW w:w="0" w:type="auto"/>
        <w:tblLayout w:type="fixed"/>
        <w:tblLook w:val="04A0" w:firstRow="1" w:lastRow="0" w:firstColumn="1" w:lastColumn="0" w:noHBand="0" w:noVBand="1"/>
      </w:tblPr>
      <w:tblGrid>
        <w:gridCol w:w="3256"/>
        <w:gridCol w:w="6373"/>
      </w:tblGrid>
      <w:tr w:rsidR="005A3014" w:rsidRPr="005A3014" w:rsidTr="005A3014">
        <w:tc>
          <w:tcPr>
            <w:tcW w:w="3256" w:type="dxa"/>
            <w:shd w:val="clear" w:color="auto" w:fill="1F497D" w:themeFill="text2"/>
          </w:tcPr>
          <w:p w:rsidR="005A3014" w:rsidRPr="005A3014" w:rsidRDefault="005A3014" w:rsidP="007D621C">
            <w:pPr>
              <w:pStyle w:val="TableHeading"/>
              <w:rPr>
                <w:rFonts w:eastAsiaTheme="minorEastAsia"/>
                <w:sz w:val="22"/>
                <w:szCs w:val="22"/>
              </w:rPr>
            </w:pPr>
            <w:r w:rsidRPr="005A3014">
              <w:rPr>
                <w:sz w:val="22"/>
                <w:szCs w:val="22"/>
              </w:rPr>
              <w:t>Role</w:t>
            </w:r>
          </w:p>
        </w:tc>
        <w:tc>
          <w:tcPr>
            <w:tcW w:w="6373" w:type="dxa"/>
            <w:shd w:val="clear" w:color="auto" w:fill="1F497D" w:themeFill="text2"/>
          </w:tcPr>
          <w:p w:rsidR="005A3014" w:rsidRPr="005A3014" w:rsidRDefault="005A3014" w:rsidP="007D621C">
            <w:pPr>
              <w:pStyle w:val="TableHeading"/>
              <w:rPr>
                <w:sz w:val="22"/>
                <w:szCs w:val="22"/>
              </w:rPr>
            </w:pPr>
            <w:r w:rsidRPr="005A3014">
              <w:rPr>
                <w:sz w:val="22"/>
                <w:szCs w:val="22"/>
              </w:rPr>
              <w:t>Description</w:t>
            </w:r>
          </w:p>
        </w:tc>
      </w:tr>
      <w:tr w:rsidR="005A3014" w:rsidRPr="005A3014" w:rsidTr="005A3014">
        <w:tc>
          <w:tcPr>
            <w:tcW w:w="3256" w:type="dxa"/>
          </w:tcPr>
          <w:p w:rsidR="005A3014" w:rsidRDefault="00A35212" w:rsidP="005A3014">
            <w:pPr>
              <w:pStyle w:val="TableText"/>
              <w:rPr>
                <w:sz w:val="22"/>
                <w:szCs w:val="22"/>
              </w:rPr>
            </w:pPr>
            <w:r>
              <w:rPr>
                <w:sz w:val="22"/>
                <w:szCs w:val="22"/>
              </w:rPr>
              <w:t>POC Readiness Working Group</w:t>
            </w:r>
          </w:p>
          <w:p w:rsidR="005A3014" w:rsidRPr="005A3014" w:rsidRDefault="005A3014" w:rsidP="00A35212">
            <w:pPr>
              <w:pStyle w:val="TableText"/>
              <w:rPr>
                <w:rFonts w:eastAsiaTheme="minorEastAsia"/>
                <w:sz w:val="22"/>
                <w:szCs w:val="22"/>
              </w:rPr>
            </w:pPr>
            <w:r>
              <w:rPr>
                <w:sz w:val="22"/>
                <w:szCs w:val="22"/>
              </w:rPr>
              <w:t>(</w:t>
            </w:r>
            <w:r w:rsidR="00A35212">
              <w:rPr>
                <w:sz w:val="22"/>
                <w:szCs w:val="22"/>
              </w:rPr>
              <w:t>POC</w:t>
            </w:r>
            <w:r>
              <w:rPr>
                <w:sz w:val="22"/>
                <w:szCs w:val="22"/>
              </w:rPr>
              <w:t>-</w:t>
            </w:r>
            <w:r w:rsidR="00A35212">
              <w:rPr>
                <w:sz w:val="22"/>
                <w:szCs w:val="22"/>
              </w:rPr>
              <w:t>RWG</w:t>
            </w:r>
            <w:r>
              <w:rPr>
                <w:sz w:val="22"/>
                <w:szCs w:val="22"/>
              </w:rPr>
              <w:t>)</w:t>
            </w:r>
          </w:p>
        </w:tc>
        <w:tc>
          <w:tcPr>
            <w:tcW w:w="6373" w:type="dxa"/>
          </w:tcPr>
          <w:p w:rsidR="005A3014" w:rsidRPr="005A3014" w:rsidRDefault="005A3014" w:rsidP="00A35212">
            <w:pPr>
              <w:pStyle w:val="TableText"/>
              <w:rPr>
                <w:rFonts w:eastAsiaTheme="minorEastAsia"/>
                <w:sz w:val="22"/>
                <w:szCs w:val="22"/>
              </w:rPr>
            </w:pPr>
            <w:r>
              <w:rPr>
                <w:sz w:val="22"/>
                <w:szCs w:val="22"/>
              </w:rPr>
              <w:t xml:space="preserve">It is important for the </w:t>
            </w:r>
            <w:r w:rsidR="00A35212">
              <w:rPr>
                <w:sz w:val="22"/>
                <w:szCs w:val="22"/>
              </w:rPr>
              <w:t>POC</w:t>
            </w:r>
            <w:r>
              <w:rPr>
                <w:sz w:val="22"/>
                <w:szCs w:val="22"/>
              </w:rPr>
              <w:t>-</w:t>
            </w:r>
            <w:r w:rsidR="00A35212">
              <w:rPr>
                <w:sz w:val="22"/>
                <w:szCs w:val="22"/>
              </w:rPr>
              <w:t>RWG</w:t>
            </w:r>
            <w:r>
              <w:rPr>
                <w:sz w:val="22"/>
                <w:szCs w:val="22"/>
              </w:rPr>
              <w:t xml:space="preserve"> and </w:t>
            </w:r>
            <w:r w:rsidRPr="005A3014">
              <w:rPr>
                <w:sz w:val="22"/>
                <w:szCs w:val="22"/>
              </w:rPr>
              <w:t>this category of readers to oversee the industry test</w:t>
            </w:r>
            <w:r w:rsidR="007A50EA">
              <w:rPr>
                <w:sz w:val="22"/>
                <w:szCs w:val="22"/>
              </w:rPr>
              <w:t>ing</w:t>
            </w:r>
            <w:r w:rsidRPr="005A3014">
              <w:rPr>
                <w:sz w:val="22"/>
                <w:szCs w:val="22"/>
              </w:rPr>
              <w:t xml:space="preserve"> planning</w:t>
            </w:r>
            <w:r>
              <w:rPr>
                <w:sz w:val="22"/>
                <w:szCs w:val="22"/>
              </w:rPr>
              <w:t>,</w:t>
            </w:r>
            <w:r w:rsidRPr="005A3014">
              <w:rPr>
                <w:sz w:val="22"/>
                <w:szCs w:val="22"/>
              </w:rPr>
              <w:t xml:space="preserve"> development and test execution effort</w:t>
            </w:r>
          </w:p>
        </w:tc>
      </w:tr>
      <w:tr w:rsidR="005A3014" w:rsidRPr="005A3014" w:rsidTr="005A3014">
        <w:tc>
          <w:tcPr>
            <w:tcW w:w="3256" w:type="dxa"/>
          </w:tcPr>
          <w:p w:rsidR="005A3014" w:rsidRPr="005A3014" w:rsidRDefault="00485B1D" w:rsidP="00E45B72">
            <w:pPr>
              <w:pStyle w:val="TableText"/>
              <w:rPr>
                <w:rFonts w:eastAsiaTheme="minorEastAsia"/>
                <w:sz w:val="22"/>
                <w:szCs w:val="22"/>
              </w:rPr>
            </w:pPr>
            <w:r>
              <w:rPr>
                <w:sz w:val="22"/>
                <w:szCs w:val="22"/>
              </w:rPr>
              <w:t xml:space="preserve">Industry </w:t>
            </w:r>
            <w:r w:rsidR="005A3014" w:rsidRPr="005A3014">
              <w:rPr>
                <w:sz w:val="22"/>
                <w:szCs w:val="22"/>
              </w:rPr>
              <w:t xml:space="preserve">Testing </w:t>
            </w:r>
            <w:r w:rsidR="005A3014">
              <w:rPr>
                <w:sz w:val="22"/>
                <w:szCs w:val="22"/>
              </w:rPr>
              <w:t>Working</w:t>
            </w:r>
            <w:r w:rsidR="005A3014" w:rsidRPr="005A3014">
              <w:rPr>
                <w:sz w:val="22"/>
                <w:szCs w:val="22"/>
              </w:rPr>
              <w:t xml:space="preserve"> Group </w:t>
            </w:r>
            <w:r w:rsidR="002D1EB4">
              <w:rPr>
                <w:sz w:val="22"/>
                <w:szCs w:val="22"/>
              </w:rPr>
              <w:t>(</w:t>
            </w:r>
            <w:r>
              <w:rPr>
                <w:sz w:val="22"/>
                <w:szCs w:val="22"/>
              </w:rPr>
              <w:t>I</w:t>
            </w:r>
            <w:r w:rsidR="002D1EB4">
              <w:rPr>
                <w:sz w:val="22"/>
                <w:szCs w:val="22"/>
              </w:rPr>
              <w:t>TWG)</w:t>
            </w:r>
          </w:p>
        </w:tc>
        <w:tc>
          <w:tcPr>
            <w:tcW w:w="6373" w:type="dxa"/>
          </w:tcPr>
          <w:p w:rsidR="005A3014" w:rsidRPr="005A3014" w:rsidRDefault="005A3014" w:rsidP="005A3014">
            <w:pPr>
              <w:pStyle w:val="TableText"/>
              <w:rPr>
                <w:rFonts w:eastAsiaTheme="minorEastAsia"/>
                <w:sz w:val="22"/>
                <w:szCs w:val="22"/>
              </w:rPr>
            </w:pPr>
            <w:r w:rsidRPr="005A3014">
              <w:rPr>
                <w:sz w:val="22"/>
                <w:szCs w:val="22"/>
              </w:rPr>
              <w:t>It is important for this category of readers to drive the industry test</w:t>
            </w:r>
            <w:r w:rsidR="007A50EA">
              <w:rPr>
                <w:sz w:val="22"/>
                <w:szCs w:val="22"/>
              </w:rPr>
              <w:t>ing</w:t>
            </w:r>
            <w:r w:rsidRPr="005A3014">
              <w:rPr>
                <w:sz w:val="22"/>
                <w:szCs w:val="22"/>
              </w:rPr>
              <w:t xml:space="preserve"> planning</w:t>
            </w:r>
            <w:r>
              <w:rPr>
                <w:sz w:val="22"/>
                <w:szCs w:val="22"/>
              </w:rPr>
              <w:t>,</w:t>
            </w:r>
            <w:r w:rsidRPr="005A3014">
              <w:rPr>
                <w:sz w:val="22"/>
                <w:szCs w:val="22"/>
              </w:rPr>
              <w:t xml:space="preserve"> development and test execution effort.</w:t>
            </w:r>
            <w:r>
              <w:rPr>
                <w:sz w:val="22"/>
                <w:szCs w:val="22"/>
              </w:rPr>
              <w:t xml:space="preserve">  </w:t>
            </w:r>
            <w:r w:rsidRPr="005A3014">
              <w:rPr>
                <w:sz w:val="22"/>
                <w:szCs w:val="22"/>
              </w:rPr>
              <w:t>Participant representatives working within this central test management team require an understanding of the context of industry testing in order to align detailed test preparation activities and subsequently report on progress.</w:t>
            </w:r>
          </w:p>
        </w:tc>
      </w:tr>
      <w:tr w:rsidR="005A3014" w:rsidRPr="005A3014" w:rsidTr="005A3014">
        <w:tc>
          <w:tcPr>
            <w:tcW w:w="3256" w:type="dxa"/>
          </w:tcPr>
          <w:p w:rsidR="005A3014" w:rsidRPr="005A3014" w:rsidRDefault="005A3014" w:rsidP="005A3014">
            <w:pPr>
              <w:pStyle w:val="TableText"/>
              <w:rPr>
                <w:sz w:val="22"/>
                <w:szCs w:val="22"/>
              </w:rPr>
            </w:pPr>
            <w:r w:rsidRPr="005A3014">
              <w:rPr>
                <w:sz w:val="22"/>
                <w:szCs w:val="22"/>
              </w:rPr>
              <w:t xml:space="preserve">Participant industry test teams </w:t>
            </w:r>
          </w:p>
        </w:tc>
        <w:tc>
          <w:tcPr>
            <w:tcW w:w="6373" w:type="dxa"/>
          </w:tcPr>
          <w:p w:rsidR="005A3014" w:rsidRPr="005A3014" w:rsidRDefault="005A3014" w:rsidP="005A3014">
            <w:pPr>
              <w:pStyle w:val="TableText"/>
              <w:rPr>
                <w:sz w:val="22"/>
                <w:szCs w:val="22"/>
              </w:rPr>
            </w:pPr>
            <w:r w:rsidRPr="005A3014">
              <w:rPr>
                <w:sz w:val="22"/>
                <w:szCs w:val="22"/>
              </w:rPr>
              <w:t>Participant teams responsible for test execution during industry test</w:t>
            </w:r>
            <w:r w:rsidR="007A50EA">
              <w:rPr>
                <w:sz w:val="22"/>
                <w:szCs w:val="22"/>
              </w:rPr>
              <w:t>ing</w:t>
            </w:r>
            <w:r w:rsidRPr="005A3014">
              <w:rPr>
                <w:sz w:val="22"/>
                <w:szCs w:val="22"/>
              </w:rPr>
              <w:t xml:space="preserve"> cycles. This audience needs to have an understanding of the management approach in order to effectively plan and execute activities for industry testing and subsequently report on successes/failures and progress. </w:t>
            </w:r>
          </w:p>
        </w:tc>
      </w:tr>
    </w:tbl>
    <w:p w:rsidR="002D1EB4" w:rsidRDefault="002D1EB4" w:rsidP="002D1EB4">
      <w:pPr>
        <w:pStyle w:val="BodyText"/>
        <w:tabs>
          <w:tab w:val="left" w:pos="993"/>
        </w:tabs>
        <w:spacing w:before="60" w:after="60"/>
      </w:pPr>
    </w:p>
    <w:p w:rsidR="002D1EB4" w:rsidRDefault="002D1EB4">
      <w:pPr>
        <w:rPr>
          <w:b/>
          <w:bCs/>
          <w:sz w:val="28"/>
          <w:szCs w:val="28"/>
        </w:rPr>
      </w:pPr>
      <w:r>
        <w:br w:type="page"/>
      </w:r>
    </w:p>
    <w:p w:rsidR="00787F23" w:rsidRPr="00787F23" w:rsidRDefault="00787F23" w:rsidP="00787F23">
      <w:pPr>
        <w:pStyle w:val="BodyText"/>
      </w:pPr>
      <w:bookmarkStart w:id="5" w:name="_Toc435180673"/>
      <w:bookmarkStart w:id="6" w:name="_Toc435181343"/>
      <w:bookmarkStart w:id="7" w:name="_Toc435181996"/>
      <w:bookmarkStart w:id="8" w:name="_Toc435183037"/>
      <w:bookmarkStart w:id="9" w:name="_Toc435180674"/>
      <w:bookmarkStart w:id="10" w:name="_Toc435181344"/>
      <w:bookmarkStart w:id="11" w:name="_Toc435181997"/>
      <w:bookmarkStart w:id="12" w:name="_Toc435183038"/>
      <w:bookmarkStart w:id="13" w:name="_Toc435180675"/>
      <w:bookmarkStart w:id="14" w:name="_Toc435181345"/>
      <w:bookmarkStart w:id="15" w:name="_Toc435181998"/>
      <w:bookmarkStart w:id="16" w:name="_Toc435183039"/>
      <w:bookmarkStart w:id="17" w:name="_Toc435180676"/>
      <w:bookmarkStart w:id="18" w:name="_Toc435181346"/>
      <w:bookmarkStart w:id="19" w:name="_Toc435181999"/>
      <w:bookmarkStart w:id="20" w:name="_Toc435183040"/>
      <w:bookmarkStart w:id="21" w:name="_Toc435180677"/>
      <w:bookmarkStart w:id="22" w:name="_Toc435181347"/>
      <w:bookmarkStart w:id="23" w:name="_Toc435182000"/>
      <w:bookmarkStart w:id="24" w:name="_Toc435183041"/>
      <w:bookmarkStart w:id="25" w:name="_Toc435180678"/>
      <w:bookmarkStart w:id="26" w:name="_Toc435181348"/>
      <w:bookmarkStart w:id="27" w:name="_Toc435182001"/>
      <w:bookmarkStart w:id="28" w:name="_Toc435183042"/>
      <w:bookmarkStart w:id="29" w:name="_Toc435180679"/>
      <w:bookmarkStart w:id="30" w:name="_Toc435181349"/>
      <w:bookmarkStart w:id="31" w:name="_Toc435182002"/>
      <w:bookmarkStart w:id="32" w:name="_Toc435183043"/>
      <w:bookmarkStart w:id="33" w:name="_Toc435180680"/>
      <w:bookmarkStart w:id="34" w:name="_Toc435181350"/>
      <w:bookmarkStart w:id="35" w:name="_Toc435182003"/>
      <w:bookmarkStart w:id="36" w:name="_Toc435183044"/>
      <w:bookmarkStart w:id="37" w:name="_Toc435180681"/>
      <w:bookmarkStart w:id="38" w:name="_Toc435181351"/>
      <w:bookmarkStart w:id="39" w:name="_Toc435182004"/>
      <w:bookmarkStart w:id="40" w:name="_Toc435183045"/>
      <w:bookmarkStart w:id="41" w:name="_Toc435180682"/>
      <w:bookmarkStart w:id="42" w:name="_Toc435181352"/>
      <w:bookmarkStart w:id="43" w:name="_Toc435182005"/>
      <w:bookmarkStart w:id="44" w:name="_Toc435183046"/>
      <w:bookmarkStart w:id="45" w:name="_Toc435180683"/>
      <w:bookmarkStart w:id="46" w:name="_Toc435181353"/>
      <w:bookmarkStart w:id="47" w:name="_Toc435182006"/>
      <w:bookmarkStart w:id="48" w:name="_Toc435183047"/>
      <w:bookmarkStart w:id="49" w:name="_Toc435180684"/>
      <w:bookmarkStart w:id="50" w:name="_Toc435181354"/>
      <w:bookmarkStart w:id="51" w:name="_Toc435182007"/>
      <w:bookmarkStart w:id="52" w:name="_Toc435183048"/>
      <w:bookmarkStart w:id="53" w:name="_Toc435180685"/>
      <w:bookmarkStart w:id="54" w:name="_Toc435181355"/>
      <w:bookmarkStart w:id="55" w:name="_Toc435182008"/>
      <w:bookmarkStart w:id="56" w:name="_Toc435183049"/>
      <w:bookmarkStart w:id="57" w:name="_Toc435180686"/>
      <w:bookmarkStart w:id="58" w:name="_Toc435181356"/>
      <w:bookmarkStart w:id="59" w:name="_Toc435182009"/>
      <w:bookmarkStart w:id="60" w:name="_Toc435183050"/>
      <w:bookmarkStart w:id="61" w:name="_Toc435180687"/>
      <w:bookmarkStart w:id="62" w:name="_Toc435181357"/>
      <w:bookmarkStart w:id="63" w:name="_Toc435182010"/>
      <w:bookmarkStart w:id="64" w:name="_Toc435183051"/>
      <w:bookmarkStart w:id="65" w:name="_Toc435180688"/>
      <w:bookmarkStart w:id="66" w:name="_Toc435181358"/>
      <w:bookmarkStart w:id="67" w:name="_Toc435182011"/>
      <w:bookmarkStart w:id="68" w:name="_Toc435183052"/>
      <w:bookmarkStart w:id="69" w:name="_Toc435180689"/>
      <w:bookmarkStart w:id="70" w:name="_Toc435181359"/>
      <w:bookmarkStart w:id="71" w:name="_Toc435182012"/>
      <w:bookmarkStart w:id="72" w:name="_Toc435183053"/>
      <w:bookmarkStart w:id="73" w:name="_Toc435180690"/>
      <w:bookmarkStart w:id="74" w:name="_Toc435181360"/>
      <w:bookmarkStart w:id="75" w:name="_Toc435182013"/>
      <w:bookmarkStart w:id="76" w:name="_Toc435183054"/>
      <w:bookmarkStart w:id="77" w:name="_Toc435180691"/>
      <w:bookmarkStart w:id="78" w:name="_Toc435181361"/>
      <w:bookmarkStart w:id="79" w:name="_Toc435182014"/>
      <w:bookmarkStart w:id="80" w:name="_Toc435183055"/>
      <w:bookmarkStart w:id="81" w:name="_Toc435180692"/>
      <w:bookmarkStart w:id="82" w:name="_Toc435181362"/>
      <w:bookmarkStart w:id="83" w:name="_Toc435182015"/>
      <w:bookmarkStart w:id="84" w:name="_Toc435183056"/>
      <w:bookmarkStart w:id="85" w:name="_Toc435180693"/>
      <w:bookmarkStart w:id="86" w:name="_Toc435181363"/>
      <w:bookmarkStart w:id="87" w:name="_Toc435182016"/>
      <w:bookmarkStart w:id="88" w:name="_Toc435183057"/>
      <w:bookmarkStart w:id="89" w:name="_Toc435180694"/>
      <w:bookmarkStart w:id="90" w:name="_Toc435181364"/>
      <w:bookmarkStart w:id="91" w:name="_Toc435182017"/>
      <w:bookmarkStart w:id="92" w:name="_Toc435183058"/>
      <w:bookmarkStart w:id="93" w:name="_Toc435180695"/>
      <w:bookmarkStart w:id="94" w:name="_Toc435181365"/>
      <w:bookmarkStart w:id="95" w:name="_Toc435182018"/>
      <w:bookmarkStart w:id="96" w:name="_Toc435183059"/>
      <w:bookmarkStart w:id="97" w:name="_Toc435180696"/>
      <w:bookmarkStart w:id="98" w:name="_Toc435181366"/>
      <w:bookmarkStart w:id="99" w:name="_Toc435182019"/>
      <w:bookmarkStart w:id="100" w:name="_Toc435183060"/>
      <w:bookmarkStart w:id="101" w:name="_Toc435180697"/>
      <w:bookmarkStart w:id="102" w:name="_Toc435181367"/>
      <w:bookmarkStart w:id="103" w:name="_Toc435182020"/>
      <w:bookmarkStart w:id="104" w:name="_Toc435183061"/>
      <w:bookmarkStart w:id="105" w:name="_Toc435180698"/>
      <w:bookmarkStart w:id="106" w:name="_Toc435181368"/>
      <w:bookmarkStart w:id="107" w:name="_Toc435182021"/>
      <w:bookmarkStart w:id="108" w:name="_Toc435183062"/>
      <w:bookmarkStart w:id="109" w:name="_Toc435180699"/>
      <w:bookmarkStart w:id="110" w:name="_Toc435181369"/>
      <w:bookmarkStart w:id="111" w:name="_Toc435182022"/>
      <w:bookmarkStart w:id="112" w:name="_Toc435183063"/>
      <w:bookmarkStart w:id="113" w:name="_Toc435180700"/>
      <w:bookmarkStart w:id="114" w:name="_Toc435181370"/>
      <w:bookmarkStart w:id="115" w:name="_Toc435182023"/>
      <w:bookmarkStart w:id="116" w:name="_Toc435183064"/>
      <w:bookmarkStart w:id="117" w:name="_Toc435180701"/>
      <w:bookmarkStart w:id="118" w:name="_Toc435181371"/>
      <w:bookmarkStart w:id="119" w:name="_Toc435182024"/>
      <w:bookmarkStart w:id="120" w:name="_Toc435183065"/>
      <w:bookmarkStart w:id="121" w:name="_Toc435180702"/>
      <w:bookmarkStart w:id="122" w:name="_Toc435181372"/>
      <w:bookmarkStart w:id="123" w:name="_Toc435182025"/>
      <w:bookmarkStart w:id="124" w:name="_Toc435183066"/>
      <w:bookmarkStart w:id="125" w:name="_Toc435180703"/>
      <w:bookmarkStart w:id="126" w:name="_Toc435181373"/>
      <w:bookmarkStart w:id="127" w:name="_Toc435182026"/>
      <w:bookmarkStart w:id="128" w:name="_Toc435183067"/>
      <w:bookmarkStart w:id="129" w:name="_Toc435180704"/>
      <w:bookmarkStart w:id="130" w:name="_Toc435181374"/>
      <w:bookmarkStart w:id="131" w:name="_Toc435182027"/>
      <w:bookmarkStart w:id="132" w:name="_Toc435183068"/>
      <w:bookmarkStart w:id="133" w:name="_Toc435180705"/>
      <w:bookmarkStart w:id="134" w:name="_Toc435181375"/>
      <w:bookmarkStart w:id="135" w:name="_Toc435182028"/>
      <w:bookmarkStart w:id="136" w:name="_Toc435183069"/>
      <w:bookmarkStart w:id="137" w:name="_Toc435180706"/>
      <w:bookmarkStart w:id="138" w:name="_Toc435181376"/>
      <w:bookmarkStart w:id="139" w:name="_Toc435182029"/>
      <w:bookmarkStart w:id="140" w:name="_Toc435183070"/>
      <w:bookmarkStart w:id="141" w:name="_Toc435180707"/>
      <w:bookmarkStart w:id="142" w:name="_Toc435181377"/>
      <w:bookmarkStart w:id="143" w:name="_Toc435182030"/>
      <w:bookmarkStart w:id="144" w:name="_Toc435183071"/>
      <w:bookmarkStart w:id="145" w:name="_Toc435180708"/>
      <w:bookmarkStart w:id="146" w:name="_Toc435181378"/>
      <w:bookmarkStart w:id="147" w:name="_Toc435182031"/>
      <w:bookmarkStart w:id="148" w:name="_Toc435183072"/>
      <w:bookmarkStart w:id="149" w:name="_Toc435180709"/>
      <w:bookmarkStart w:id="150" w:name="_Toc435181379"/>
      <w:bookmarkStart w:id="151" w:name="_Toc435182032"/>
      <w:bookmarkStart w:id="152" w:name="_Toc435183073"/>
      <w:bookmarkStart w:id="153" w:name="_Toc435180710"/>
      <w:bookmarkStart w:id="154" w:name="_Toc435181380"/>
      <w:bookmarkStart w:id="155" w:name="_Toc435182033"/>
      <w:bookmarkStart w:id="156" w:name="_Toc435183074"/>
      <w:bookmarkStart w:id="157" w:name="_Toc435180711"/>
      <w:bookmarkStart w:id="158" w:name="_Toc435181381"/>
      <w:bookmarkStart w:id="159" w:name="_Toc435182034"/>
      <w:bookmarkStart w:id="160" w:name="_Toc435183075"/>
      <w:bookmarkStart w:id="161" w:name="_Toc428455106"/>
      <w:bookmarkStart w:id="162" w:name="_Toc428524916"/>
      <w:bookmarkStart w:id="163" w:name="_Toc428525347"/>
      <w:bookmarkStart w:id="164" w:name="_Toc428525865"/>
      <w:bookmarkStart w:id="165" w:name="_Toc428525947"/>
      <w:bookmarkStart w:id="166" w:name="_Toc435180712"/>
      <w:bookmarkStart w:id="167" w:name="_Toc435181382"/>
      <w:bookmarkStart w:id="168" w:name="_Toc435182035"/>
      <w:bookmarkStart w:id="169" w:name="_Toc435183076"/>
      <w:bookmarkStart w:id="170" w:name="_Toc435180713"/>
      <w:bookmarkStart w:id="171" w:name="_Toc435181383"/>
      <w:bookmarkStart w:id="172" w:name="_Toc435182036"/>
      <w:bookmarkStart w:id="173" w:name="_Toc435183077"/>
      <w:bookmarkStart w:id="174" w:name="_Toc435180714"/>
      <w:bookmarkStart w:id="175" w:name="_Toc435181384"/>
      <w:bookmarkStart w:id="176" w:name="_Toc435182037"/>
      <w:bookmarkStart w:id="177" w:name="_Toc435183078"/>
      <w:bookmarkStart w:id="178" w:name="_Toc435180715"/>
      <w:bookmarkStart w:id="179" w:name="_Toc435181385"/>
      <w:bookmarkStart w:id="180" w:name="_Toc435182038"/>
      <w:bookmarkStart w:id="181" w:name="_Toc435183079"/>
      <w:bookmarkStart w:id="182" w:name="_Toc435180716"/>
      <w:bookmarkStart w:id="183" w:name="_Toc435181386"/>
      <w:bookmarkStart w:id="184" w:name="_Toc435182039"/>
      <w:bookmarkStart w:id="185" w:name="_Toc435183080"/>
      <w:bookmarkStart w:id="186" w:name="_Toc435180717"/>
      <w:bookmarkStart w:id="187" w:name="_Toc435181387"/>
      <w:bookmarkStart w:id="188" w:name="_Toc435182040"/>
      <w:bookmarkStart w:id="189" w:name="_Toc435183081"/>
      <w:bookmarkStart w:id="190" w:name="_Toc435180718"/>
      <w:bookmarkStart w:id="191" w:name="_Toc435181388"/>
      <w:bookmarkStart w:id="192" w:name="_Toc435182041"/>
      <w:bookmarkStart w:id="193" w:name="_Toc435183082"/>
      <w:bookmarkStart w:id="194" w:name="_Toc435180719"/>
      <w:bookmarkStart w:id="195" w:name="_Toc435181389"/>
      <w:bookmarkStart w:id="196" w:name="_Toc435182042"/>
      <w:bookmarkStart w:id="197" w:name="_Toc435183083"/>
      <w:bookmarkStart w:id="198" w:name="_Toc435180720"/>
      <w:bookmarkStart w:id="199" w:name="_Toc435181390"/>
      <w:bookmarkStart w:id="200" w:name="_Toc435182043"/>
      <w:bookmarkStart w:id="201" w:name="_Toc435183084"/>
      <w:bookmarkStart w:id="202" w:name="_Toc435180721"/>
      <w:bookmarkStart w:id="203" w:name="_Toc435181391"/>
      <w:bookmarkStart w:id="204" w:name="_Toc435182044"/>
      <w:bookmarkStart w:id="205" w:name="_Toc435183085"/>
      <w:bookmarkStart w:id="206" w:name="_Toc435180722"/>
      <w:bookmarkStart w:id="207" w:name="_Toc435181392"/>
      <w:bookmarkStart w:id="208" w:name="_Toc435182045"/>
      <w:bookmarkStart w:id="209" w:name="_Toc435183086"/>
      <w:bookmarkStart w:id="210" w:name="_Toc435180723"/>
      <w:bookmarkStart w:id="211" w:name="_Toc435181393"/>
      <w:bookmarkStart w:id="212" w:name="_Toc435182046"/>
      <w:bookmarkStart w:id="213" w:name="_Toc435183087"/>
      <w:bookmarkStart w:id="214" w:name="_Toc435180724"/>
      <w:bookmarkStart w:id="215" w:name="_Toc435181394"/>
      <w:bookmarkStart w:id="216" w:name="_Toc435182047"/>
      <w:bookmarkStart w:id="217" w:name="_Toc435183088"/>
      <w:bookmarkStart w:id="218" w:name="_Toc435180725"/>
      <w:bookmarkStart w:id="219" w:name="_Toc435181395"/>
      <w:bookmarkStart w:id="220" w:name="_Toc435182048"/>
      <w:bookmarkStart w:id="221" w:name="_Toc435183089"/>
      <w:bookmarkStart w:id="222" w:name="_Toc435180726"/>
      <w:bookmarkStart w:id="223" w:name="_Toc435181396"/>
      <w:bookmarkStart w:id="224" w:name="_Toc435182049"/>
      <w:bookmarkStart w:id="225" w:name="_Toc435183090"/>
      <w:bookmarkStart w:id="226" w:name="_Toc435180727"/>
      <w:bookmarkStart w:id="227" w:name="_Toc435181397"/>
      <w:bookmarkStart w:id="228" w:name="_Toc435182050"/>
      <w:bookmarkStart w:id="229" w:name="_Toc435183091"/>
      <w:bookmarkStart w:id="230" w:name="_Toc435180728"/>
      <w:bookmarkStart w:id="231" w:name="_Toc435181398"/>
      <w:bookmarkStart w:id="232" w:name="_Toc435182051"/>
      <w:bookmarkStart w:id="233" w:name="_Toc435183092"/>
      <w:bookmarkStart w:id="234" w:name="_Toc435180729"/>
      <w:bookmarkStart w:id="235" w:name="_Toc435181399"/>
      <w:bookmarkStart w:id="236" w:name="_Toc435182052"/>
      <w:bookmarkStart w:id="237" w:name="_Toc435183093"/>
      <w:bookmarkStart w:id="238" w:name="_Toc435180730"/>
      <w:bookmarkStart w:id="239" w:name="_Toc435181400"/>
      <w:bookmarkStart w:id="240" w:name="_Toc435182053"/>
      <w:bookmarkStart w:id="241" w:name="_Toc435183094"/>
      <w:bookmarkStart w:id="242" w:name="_Toc435180731"/>
      <w:bookmarkStart w:id="243" w:name="_Toc435181401"/>
      <w:bookmarkStart w:id="244" w:name="_Toc435182054"/>
      <w:bookmarkStart w:id="245" w:name="_Toc435183095"/>
      <w:bookmarkStart w:id="246" w:name="_Toc435180732"/>
      <w:bookmarkStart w:id="247" w:name="_Toc435181402"/>
      <w:bookmarkStart w:id="248" w:name="_Toc435182055"/>
      <w:bookmarkStart w:id="249" w:name="_Toc435183096"/>
      <w:bookmarkStart w:id="250" w:name="_Toc435180733"/>
      <w:bookmarkStart w:id="251" w:name="_Toc435181403"/>
      <w:bookmarkStart w:id="252" w:name="_Toc435182056"/>
      <w:bookmarkStart w:id="253" w:name="_Toc435183097"/>
      <w:bookmarkStart w:id="254" w:name="_Toc435180734"/>
      <w:bookmarkStart w:id="255" w:name="_Toc435181404"/>
      <w:bookmarkStart w:id="256" w:name="_Toc435182057"/>
      <w:bookmarkStart w:id="257" w:name="_Toc435183098"/>
      <w:bookmarkStart w:id="258" w:name="_Toc435180735"/>
      <w:bookmarkStart w:id="259" w:name="_Toc435181405"/>
      <w:bookmarkStart w:id="260" w:name="_Toc435182058"/>
      <w:bookmarkStart w:id="261" w:name="_Toc435183099"/>
      <w:bookmarkStart w:id="262" w:name="_Toc435180736"/>
      <w:bookmarkStart w:id="263" w:name="_Toc435181406"/>
      <w:bookmarkStart w:id="264" w:name="_Toc435182059"/>
      <w:bookmarkStart w:id="265" w:name="_Toc435183100"/>
      <w:bookmarkStart w:id="266" w:name="_Toc435180737"/>
      <w:bookmarkStart w:id="267" w:name="_Toc435181407"/>
      <w:bookmarkStart w:id="268" w:name="_Toc435182060"/>
      <w:bookmarkStart w:id="269" w:name="_Toc435183101"/>
      <w:bookmarkStart w:id="270" w:name="_Toc435180738"/>
      <w:bookmarkStart w:id="271" w:name="_Toc435181408"/>
      <w:bookmarkStart w:id="272" w:name="_Toc435182061"/>
      <w:bookmarkStart w:id="273" w:name="_Toc435183102"/>
      <w:bookmarkStart w:id="274" w:name="_Toc435180739"/>
      <w:bookmarkStart w:id="275" w:name="_Toc435181409"/>
      <w:bookmarkStart w:id="276" w:name="_Toc435182062"/>
      <w:bookmarkStart w:id="277" w:name="_Toc435183103"/>
      <w:bookmarkStart w:id="278" w:name="_Toc435180740"/>
      <w:bookmarkStart w:id="279" w:name="_Toc435181410"/>
      <w:bookmarkStart w:id="280" w:name="_Toc435182063"/>
      <w:bookmarkStart w:id="281" w:name="_Toc435183104"/>
      <w:bookmarkStart w:id="282" w:name="_Toc435180741"/>
      <w:bookmarkStart w:id="283" w:name="_Toc435181411"/>
      <w:bookmarkStart w:id="284" w:name="_Toc435182064"/>
      <w:bookmarkStart w:id="285" w:name="_Toc435183105"/>
      <w:bookmarkStart w:id="286" w:name="_Toc435180742"/>
      <w:bookmarkStart w:id="287" w:name="_Toc435181412"/>
      <w:bookmarkStart w:id="288" w:name="_Toc435182065"/>
      <w:bookmarkStart w:id="289" w:name="_Toc435183106"/>
      <w:bookmarkStart w:id="290" w:name="_Toc435180743"/>
      <w:bookmarkStart w:id="291" w:name="_Toc435181413"/>
      <w:bookmarkStart w:id="292" w:name="_Toc435182066"/>
      <w:bookmarkStart w:id="293" w:name="_Toc435183107"/>
      <w:bookmarkStart w:id="294" w:name="_Toc435180955"/>
      <w:bookmarkStart w:id="295" w:name="_Toc435181625"/>
      <w:bookmarkStart w:id="296" w:name="_Toc435182278"/>
      <w:bookmarkStart w:id="297" w:name="_Toc435183319"/>
      <w:bookmarkStart w:id="298" w:name="_Toc435180956"/>
      <w:bookmarkStart w:id="299" w:name="_Toc435181626"/>
      <w:bookmarkStart w:id="300" w:name="_Toc435182279"/>
      <w:bookmarkStart w:id="301" w:name="_Toc435183320"/>
      <w:bookmarkStart w:id="302" w:name="_Toc435180957"/>
      <w:bookmarkStart w:id="303" w:name="_Toc435181627"/>
      <w:bookmarkStart w:id="304" w:name="_Toc435182280"/>
      <w:bookmarkStart w:id="305" w:name="_Toc435183321"/>
      <w:bookmarkStart w:id="306" w:name="_Toc435180958"/>
      <w:bookmarkStart w:id="307" w:name="_Toc435181628"/>
      <w:bookmarkStart w:id="308" w:name="_Toc435182281"/>
      <w:bookmarkStart w:id="309" w:name="_Toc435183322"/>
      <w:bookmarkStart w:id="310" w:name="_Toc435180959"/>
      <w:bookmarkStart w:id="311" w:name="_Toc435181629"/>
      <w:bookmarkStart w:id="312" w:name="_Toc435182282"/>
      <w:bookmarkStart w:id="313" w:name="_Toc435183323"/>
      <w:bookmarkStart w:id="314" w:name="_Toc435180960"/>
      <w:bookmarkStart w:id="315" w:name="_Toc435181630"/>
      <w:bookmarkStart w:id="316" w:name="_Toc435182283"/>
      <w:bookmarkStart w:id="317" w:name="_Toc435183324"/>
      <w:bookmarkStart w:id="318" w:name="_Toc435180961"/>
      <w:bookmarkStart w:id="319" w:name="_Toc435181631"/>
      <w:bookmarkStart w:id="320" w:name="_Toc435182284"/>
      <w:bookmarkStart w:id="321" w:name="_Toc435183325"/>
      <w:bookmarkStart w:id="322" w:name="_Toc435180962"/>
      <w:bookmarkStart w:id="323" w:name="_Toc435181632"/>
      <w:bookmarkStart w:id="324" w:name="_Toc435182285"/>
      <w:bookmarkStart w:id="325" w:name="_Toc435183326"/>
      <w:bookmarkStart w:id="326" w:name="_Toc435180963"/>
      <w:bookmarkStart w:id="327" w:name="_Toc435181633"/>
      <w:bookmarkStart w:id="328" w:name="_Toc435182286"/>
      <w:bookmarkStart w:id="329" w:name="_Toc435183327"/>
      <w:bookmarkStart w:id="330" w:name="_Toc435180964"/>
      <w:bookmarkStart w:id="331" w:name="_Toc435181634"/>
      <w:bookmarkStart w:id="332" w:name="_Toc435182287"/>
      <w:bookmarkStart w:id="333" w:name="_Toc435183328"/>
      <w:bookmarkStart w:id="334" w:name="_Toc435180965"/>
      <w:bookmarkStart w:id="335" w:name="_Toc435181635"/>
      <w:bookmarkStart w:id="336" w:name="_Toc435182288"/>
      <w:bookmarkStart w:id="337" w:name="_Toc435183329"/>
      <w:bookmarkStart w:id="338" w:name="_Toc435180966"/>
      <w:bookmarkStart w:id="339" w:name="_Toc435181636"/>
      <w:bookmarkStart w:id="340" w:name="_Toc435182289"/>
      <w:bookmarkStart w:id="341" w:name="_Toc435183330"/>
      <w:bookmarkStart w:id="342" w:name="_Toc435180967"/>
      <w:bookmarkStart w:id="343" w:name="_Toc435181637"/>
      <w:bookmarkStart w:id="344" w:name="_Toc435182290"/>
      <w:bookmarkStart w:id="345" w:name="_Toc435183331"/>
      <w:bookmarkStart w:id="346" w:name="_Toc435180968"/>
      <w:bookmarkStart w:id="347" w:name="_Toc435181638"/>
      <w:bookmarkStart w:id="348" w:name="_Toc435182291"/>
      <w:bookmarkStart w:id="349" w:name="_Toc435183332"/>
      <w:bookmarkStart w:id="350" w:name="_Toc435180969"/>
      <w:bookmarkStart w:id="351" w:name="_Toc435181639"/>
      <w:bookmarkStart w:id="352" w:name="_Toc435182292"/>
      <w:bookmarkStart w:id="353" w:name="_Toc435183333"/>
      <w:bookmarkStart w:id="354" w:name="_Toc435180970"/>
      <w:bookmarkStart w:id="355" w:name="_Toc435181640"/>
      <w:bookmarkStart w:id="356" w:name="_Toc435182293"/>
      <w:bookmarkStart w:id="357" w:name="_Toc435183334"/>
      <w:bookmarkStart w:id="358" w:name="_Toc435180971"/>
      <w:bookmarkStart w:id="359" w:name="_Toc435181641"/>
      <w:bookmarkStart w:id="360" w:name="_Toc435182294"/>
      <w:bookmarkStart w:id="361" w:name="_Toc435183335"/>
      <w:bookmarkStart w:id="362" w:name="_Toc435180972"/>
      <w:bookmarkStart w:id="363" w:name="_Toc435181642"/>
      <w:bookmarkStart w:id="364" w:name="_Toc435182295"/>
      <w:bookmarkStart w:id="365" w:name="_Toc435183336"/>
      <w:bookmarkStart w:id="366" w:name="_Toc435180973"/>
      <w:bookmarkStart w:id="367" w:name="_Toc435181643"/>
      <w:bookmarkStart w:id="368" w:name="_Toc435182296"/>
      <w:bookmarkStart w:id="369" w:name="_Toc435183337"/>
      <w:bookmarkStart w:id="370" w:name="_Toc435180974"/>
      <w:bookmarkStart w:id="371" w:name="_Toc435181644"/>
      <w:bookmarkStart w:id="372" w:name="_Toc435182297"/>
      <w:bookmarkStart w:id="373" w:name="_Toc435183338"/>
      <w:bookmarkStart w:id="374" w:name="_Toc435180975"/>
      <w:bookmarkStart w:id="375" w:name="_Toc435181645"/>
      <w:bookmarkStart w:id="376" w:name="_Toc435182298"/>
      <w:bookmarkStart w:id="377" w:name="_Toc435183339"/>
      <w:bookmarkStart w:id="378" w:name="_Toc435180976"/>
      <w:bookmarkStart w:id="379" w:name="_Toc435181646"/>
      <w:bookmarkStart w:id="380" w:name="_Toc435182299"/>
      <w:bookmarkStart w:id="381" w:name="_Toc435183340"/>
      <w:bookmarkStart w:id="382" w:name="_Toc435180977"/>
      <w:bookmarkStart w:id="383" w:name="_Toc435181647"/>
      <w:bookmarkStart w:id="384" w:name="_Toc435182300"/>
      <w:bookmarkStart w:id="385" w:name="_Toc435183341"/>
      <w:bookmarkStart w:id="386" w:name="_Toc435180978"/>
      <w:bookmarkStart w:id="387" w:name="_Toc435181648"/>
      <w:bookmarkStart w:id="388" w:name="_Toc435182301"/>
      <w:bookmarkStart w:id="389" w:name="_Toc435183342"/>
      <w:bookmarkStart w:id="390" w:name="_Toc435180979"/>
      <w:bookmarkStart w:id="391" w:name="_Toc435181649"/>
      <w:bookmarkStart w:id="392" w:name="_Toc435182302"/>
      <w:bookmarkStart w:id="393" w:name="_Toc435183343"/>
      <w:bookmarkStart w:id="394" w:name="_Toc435180980"/>
      <w:bookmarkStart w:id="395" w:name="_Toc435181650"/>
      <w:bookmarkStart w:id="396" w:name="_Toc435182303"/>
      <w:bookmarkStart w:id="397" w:name="_Toc435183344"/>
      <w:bookmarkStart w:id="398" w:name="_Toc435180981"/>
      <w:bookmarkStart w:id="399" w:name="_Toc435181651"/>
      <w:bookmarkStart w:id="400" w:name="_Toc435182304"/>
      <w:bookmarkStart w:id="401" w:name="_Toc435183345"/>
      <w:bookmarkStart w:id="402" w:name="_Toc435180982"/>
      <w:bookmarkStart w:id="403" w:name="_Toc435181652"/>
      <w:bookmarkStart w:id="404" w:name="_Toc435182305"/>
      <w:bookmarkStart w:id="405" w:name="_Toc435183346"/>
      <w:bookmarkStart w:id="406" w:name="_Toc435180983"/>
      <w:bookmarkStart w:id="407" w:name="_Toc435181653"/>
      <w:bookmarkStart w:id="408" w:name="_Toc435182306"/>
      <w:bookmarkStart w:id="409" w:name="_Toc435183347"/>
      <w:bookmarkStart w:id="410" w:name="_Toc435180984"/>
      <w:bookmarkStart w:id="411" w:name="_Toc435181654"/>
      <w:bookmarkStart w:id="412" w:name="_Toc435182307"/>
      <w:bookmarkStart w:id="413" w:name="_Toc435183348"/>
      <w:bookmarkStart w:id="414" w:name="_Toc435180985"/>
      <w:bookmarkStart w:id="415" w:name="_Toc435181655"/>
      <w:bookmarkStart w:id="416" w:name="_Toc435182308"/>
      <w:bookmarkStart w:id="417" w:name="_Toc435183349"/>
      <w:bookmarkStart w:id="418" w:name="_Toc435180986"/>
      <w:bookmarkStart w:id="419" w:name="_Toc435181656"/>
      <w:bookmarkStart w:id="420" w:name="_Toc435182309"/>
      <w:bookmarkStart w:id="421" w:name="_Toc435183350"/>
      <w:bookmarkStart w:id="422" w:name="_Toc435180987"/>
      <w:bookmarkStart w:id="423" w:name="_Toc435181657"/>
      <w:bookmarkStart w:id="424" w:name="_Toc435182310"/>
      <w:bookmarkStart w:id="425" w:name="_Toc435183351"/>
      <w:bookmarkStart w:id="426" w:name="_Toc435180988"/>
      <w:bookmarkStart w:id="427" w:name="_Toc435181658"/>
      <w:bookmarkStart w:id="428" w:name="_Toc435182311"/>
      <w:bookmarkStart w:id="429" w:name="_Toc435183352"/>
      <w:bookmarkStart w:id="430" w:name="_Toc435180989"/>
      <w:bookmarkStart w:id="431" w:name="_Toc435181659"/>
      <w:bookmarkStart w:id="432" w:name="_Toc435182312"/>
      <w:bookmarkStart w:id="433" w:name="_Toc435183353"/>
      <w:bookmarkStart w:id="434" w:name="_Toc435180990"/>
      <w:bookmarkStart w:id="435" w:name="_Toc435181660"/>
      <w:bookmarkStart w:id="436" w:name="_Toc435182313"/>
      <w:bookmarkStart w:id="437" w:name="_Toc435183354"/>
      <w:bookmarkStart w:id="438" w:name="_Toc435180991"/>
      <w:bookmarkStart w:id="439" w:name="_Toc435181661"/>
      <w:bookmarkStart w:id="440" w:name="_Toc435182314"/>
      <w:bookmarkStart w:id="441" w:name="_Toc435183355"/>
      <w:bookmarkStart w:id="442" w:name="_Toc435180992"/>
      <w:bookmarkStart w:id="443" w:name="_Toc435181662"/>
      <w:bookmarkStart w:id="444" w:name="_Toc435182315"/>
      <w:bookmarkStart w:id="445" w:name="_Toc435183356"/>
      <w:bookmarkStart w:id="446" w:name="_Toc435180993"/>
      <w:bookmarkStart w:id="447" w:name="_Toc435181663"/>
      <w:bookmarkStart w:id="448" w:name="_Toc435182316"/>
      <w:bookmarkStart w:id="449" w:name="_Toc435183357"/>
      <w:bookmarkStart w:id="450" w:name="_Toc435180994"/>
      <w:bookmarkStart w:id="451" w:name="_Toc435181664"/>
      <w:bookmarkStart w:id="452" w:name="_Toc435182317"/>
      <w:bookmarkStart w:id="453" w:name="_Toc435183358"/>
      <w:bookmarkStart w:id="454" w:name="_Toc435180995"/>
      <w:bookmarkStart w:id="455" w:name="_Toc435181665"/>
      <w:bookmarkStart w:id="456" w:name="_Toc435182318"/>
      <w:bookmarkStart w:id="457" w:name="_Toc435183359"/>
      <w:bookmarkStart w:id="458" w:name="_Toc435180996"/>
      <w:bookmarkStart w:id="459" w:name="_Toc435181666"/>
      <w:bookmarkStart w:id="460" w:name="_Toc435182319"/>
      <w:bookmarkStart w:id="461" w:name="_Toc435183360"/>
      <w:bookmarkStart w:id="462" w:name="_Toc435180997"/>
      <w:bookmarkStart w:id="463" w:name="_Toc435181667"/>
      <w:bookmarkStart w:id="464" w:name="_Toc435182320"/>
      <w:bookmarkStart w:id="465" w:name="_Toc435183361"/>
      <w:bookmarkStart w:id="466" w:name="_Toc435180998"/>
      <w:bookmarkStart w:id="467" w:name="_Toc435181668"/>
      <w:bookmarkStart w:id="468" w:name="_Toc435182321"/>
      <w:bookmarkStart w:id="469" w:name="_Toc435183362"/>
      <w:bookmarkStart w:id="470" w:name="_Toc435180999"/>
      <w:bookmarkStart w:id="471" w:name="_Toc435181669"/>
      <w:bookmarkStart w:id="472" w:name="_Toc435182322"/>
      <w:bookmarkStart w:id="473" w:name="_Toc435183363"/>
      <w:bookmarkStart w:id="474" w:name="_Toc435181000"/>
      <w:bookmarkStart w:id="475" w:name="_Toc435181670"/>
      <w:bookmarkStart w:id="476" w:name="_Toc435182323"/>
      <w:bookmarkStart w:id="477" w:name="_Toc435183364"/>
      <w:bookmarkStart w:id="478" w:name="_Toc435181001"/>
      <w:bookmarkStart w:id="479" w:name="_Toc435181671"/>
      <w:bookmarkStart w:id="480" w:name="_Toc435182324"/>
      <w:bookmarkStart w:id="481" w:name="_Toc435183365"/>
      <w:bookmarkStart w:id="482" w:name="_Toc435181002"/>
      <w:bookmarkStart w:id="483" w:name="_Toc435181672"/>
      <w:bookmarkStart w:id="484" w:name="_Toc435182325"/>
      <w:bookmarkStart w:id="485" w:name="_Toc435183366"/>
      <w:bookmarkStart w:id="486" w:name="_Toc435181003"/>
      <w:bookmarkStart w:id="487" w:name="_Toc435181673"/>
      <w:bookmarkStart w:id="488" w:name="_Toc435182326"/>
      <w:bookmarkStart w:id="489" w:name="_Toc435183367"/>
      <w:bookmarkStart w:id="490" w:name="_Toc435181004"/>
      <w:bookmarkStart w:id="491" w:name="_Toc435181674"/>
      <w:bookmarkStart w:id="492" w:name="_Toc435182327"/>
      <w:bookmarkStart w:id="493" w:name="_Toc435183368"/>
      <w:bookmarkStart w:id="494" w:name="_Toc435181005"/>
      <w:bookmarkStart w:id="495" w:name="_Toc435181675"/>
      <w:bookmarkStart w:id="496" w:name="_Toc435182328"/>
      <w:bookmarkStart w:id="497" w:name="_Toc435183369"/>
      <w:bookmarkStart w:id="498" w:name="_Toc435181006"/>
      <w:bookmarkStart w:id="499" w:name="_Toc435181676"/>
      <w:bookmarkStart w:id="500" w:name="_Toc435182329"/>
      <w:bookmarkStart w:id="501" w:name="_Toc435183370"/>
      <w:bookmarkStart w:id="502" w:name="_Toc435181007"/>
      <w:bookmarkStart w:id="503" w:name="_Toc435181677"/>
      <w:bookmarkStart w:id="504" w:name="_Toc435182330"/>
      <w:bookmarkStart w:id="505" w:name="_Toc435183371"/>
      <w:bookmarkStart w:id="506" w:name="_Toc435181008"/>
      <w:bookmarkStart w:id="507" w:name="_Toc435181678"/>
      <w:bookmarkStart w:id="508" w:name="_Toc435182331"/>
      <w:bookmarkStart w:id="509" w:name="_Toc435183372"/>
      <w:bookmarkStart w:id="510" w:name="_Toc435181009"/>
      <w:bookmarkStart w:id="511" w:name="_Toc435181679"/>
      <w:bookmarkStart w:id="512" w:name="_Toc435182332"/>
      <w:bookmarkStart w:id="513" w:name="_Toc435183373"/>
      <w:bookmarkStart w:id="514" w:name="_Toc435181010"/>
      <w:bookmarkStart w:id="515" w:name="_Toc435181680"/>
      <w:bookmarkStart w:id="516" w:name="_Toc435182333"/>
      <w:bookmarkStart w:id="517" w:name="_Toc435183374"/>
      <w:bookmarkStart w:id="518" w:name="_Toc435181011"/>
      <w:bookmarkStart w:id="519" w:name="_Toc435181681"/>
      <w:bookmarkStart w:id="520" w:name="_Toc435182334"/>
      <w:bookmarkStart w:id="521" w:name="_Toc435183375"/>
      <w:bookmarkStart w:id="522" w:name="_Toc435181012"/>
      <w:bookmarkStart w:id="523" w:name="_Toc435181682"/>
      <w:bookmarkStart w:id="524" w:name="_Toc435182335"/>
      <w:bookmarkStart w:id="525" w:name="_Toc435183376"/>
      <w:bookmarkStart w:id="526" w:name="_Toc435181013"/>
      <w:bookmarkStart w:id="527" w:name="_Toc435181683"/>
      <w:bookmarkStart w:id="528" w:name="_Toc435182336"/>
      <w:bookmarkStart w:id="529" w:name="_Toc435183377"/>
      <w:bookmarkStart w:id="530" w:name="_Toc435181014"/>
      <w:bookmarkStart w:id="531" w:name="_Toc435181684"/>
      <w:bookmarkStart w:id="532" w:name="_Toc435182337"/>
      <w:bookmarkStart w:id="533" w:name="_Toc435183378"/>
      <w:bookmarkStart w:id="534" w:name="_Toc435181015"/>
      <w:bookmarkStart w:id="535" w:name="_Toc435181685"/>
      <w:bookmarkStart w:id="536" w:name="_Toc435182338"/>
      <w:bookmarkStart w:id="537" w:name="_Toc435183379"/>
      <w:bookmarkStart w:id="538" w:name="_Toc435181016"/>
      <w:bookmarkStart w:id="539" w:name="_Toc435181686"/>
      <w:bookmarkStart w:id="540" w:name="_Toc435182339"/>
      <w:bookmarkStart w:id="541" w:name="_Toc435183380"/>
      <w:bookmarkStart w:id="542" w:name="_Toc435181017"/>
      <w:bookmarkStart w:id="543" w:name="_Toc435181687"/>
      <w:bookmarkStart w:id="544" w:name="_Toc435182340"/>
      <w:bookmarkStart w:id="545" w:name="_Toc435183381"/>
      <w:bookmarkStart w:id="546" w:name="_Toc435181018"/>
      <w:bookmarkStart w:id="547" w:name="_Toc435181688"/>
      <w:bookmarkStart w:id="548" w:name="_Toc435182341"/>
      <w:bookmarkStart w:id="549" w:name="_Toc435183382"/>
      <w:bookmarkStart w:id="550" w:name="_Toc435181019"/>
      <w:bookmarkStart w:id="551" w:name="_Toc435181689"/>
      <w:bookmarkStart w:id="552" w:name="_Toc435182342"/>
      <w:bookmarkStart w:id="553" w:name="_Toc435183383"/>
      <w:bookmarkStart w:id="554" w:name="_Toc435181020"/>
      <w:bookmarkStart w:id="555" w:name="_Toc435181690"/>
      <w:bookmarkStart w:id="556" w:name="_Toc435182343"/>
      <w:bookmarkStart w:id="557" w:name="_Toc435183384"/>
      <w:bookmarkStart w:id="558" w:name="_Toc435181021"/>
      <w:bookmarkStart w:id="559" w:name="_Toc435181691"/>
      <w:bookmarkStart w:id="560" w:name="_Toc435182344"/>
      <w:bookmarkStart w:id="561" w:name="_Toc435183385"/>
      <w:bookmarkStart w:id="562" w:name="_Toc435181022"/>
      <w:bookmarkStart w:id="563" w:name="_Toc435181692"/>
      <w:bookmarkStart w:id="564" w:name="_Toc435182345"/>
      <w:bookmarkStart w:id="565" w:name="_Toc435183386"/>
      <w:bookmarkStart w:id="566" w:name="_Toc435181023"/>
      <w:bookmarkStart w:id="567" w:name="_Toc435181693"/>
      <w:bookmarkStart w:id="568" w:name="_Toc435182346"/>
      <w:bookmarkStart w:id="569" w:name="_Toc435183387"/>
      <w:bookmarkStart w:id="570" w:name="_Toc435181024"/>
      <w:bookmarkStart w:id="571" w:name="_Toc435181694"/>
      <w:bookmarkStart w:id="572" w:name="_Toc435182347"/>
      <w:bookmarkStart w:id="573" w:name="_Toc435183388"/>
      <w:bookmarkStart w:id="574" w:name="_Toc435181025"/>
      <w:bookmarkStart w:id="575" w:name="_Toc435181695"/>
      <w:bookmarkStart w:id="576" w:name="_Toc435182348"/>
      <w:bookmarkStart w:id="577" w:name="_Toc435183389"/>
      <w:bookmarkStart w:id="578" w:name="_Toc435181026"/>
      <w:bookmarkStart w:id="579" w:name="_Toc435181696"/>
      <w:bookmarkStart w:id="580" w:name="_Toc435182349"/>
      <w:bookmarkStart w:id="581" w:name="_Toc435183390"/>
      <w:bookmarkStart w:id="582" w:name="_Toc435181027"/>
      <w:bookmarkStart w:id="583" w:name="_Toc435181697"/>
      <w:bookmarkStart w:id="584" w:name="_Toc435182350"/>
      <w:bookmarkStart w:id="585" w:name="_Toc435183391"/>
      <w:bookmarkStart w:id="586" w:name="_Toc435181028"/>
      <w:bookmarkStart w:id="587" w:name="_Toc435181698"/>
      <w:bookmarkStart w:id="588" w:name="_Toc435182351"/>
      <w:bookmarkStart w:id="589" w:name="_Toc435183392"/>
      <w:bookmarkStart w:id="590" w:name="_Toc435181029"/>
      <w:bookmarkStart w:id="591" w:name="_Toc435181699"/>
      <w:bookmarkStart w:id="592" w:name="_Toc435182352"/>
      <w:bookmarkStart w:id="593" w:name="_Toc435183393"/>
      <w:bookmarkStart w:id="594" w:name="_Toc435181030"/>
      <w:bookmarkStart w:id="595" w:name="_Toc435181700"/>
      <w:bookmarkStart w:id="596" w:name="_Toc435182353"/>
      <w:bookmarkStart w:id="597" w:name="_Toc435183394"/>
      <w:bookmarkStart w:id="598" w:name="_Toc435181031"/>
      <w:bookmarkStart w:id="599" w:name="_Toc435181701"/>
      <w:bookmarkStart w:id="600" w:name="_Toc435182354"/>
      <w:bookmarkStart w:id="601" w:name="_Toc435183395"/>
      <w:bookmarkStart w:id="602" w:name="_Toc435181032"/>
      <w:bookmarkStart w:id="603" w:name="_Toc435181702"/>
      <w:bookmarkStart w:id="604" w:name="_Toc435182355"/>
      <w:bookmarkStart w:id="605" w:name="_Toc435183396"/>
      <w:bookmarkStart w:id="606" w:name="_Toc435181033"/>
      <w:bookmarkStart w:id="607" w:name="_Toc435181703"/>
      <w:bookmarkStart w:id="608" w:name="_Toc435182356"/>
      <w:bookmarkStart w:id="609" w:name="_Toc435183397"/>
      <w:bookmarkStart w:id="610" w:name="_Toc435181034"/>
      <w:bookmarkStart w:id="611" w:name="_Toc435181704"/>
      <w:bookmarkStart w:id="612" w:name="_Toc435182357"/>
      <w:bookmarkStart w:id="613" w:name="_Toc435183398"/>
      <w:bookmarkStart w:id="614" w:name="_Toc435181035"/>
      <w:bookmarkStart w:id="615" w:name="_Toc435181705"/>
      <w:bookmarkStart w:id="616" w:name="_Toc435182358"/>
      <w:bookmarkStart w:id="617" w:name="_Toc435183399"/>
      <w:bookmarkStart w:id="618" w:name="_Toc435181036"/>
      <w:bookmarkStart w:id="619" w:name="_Toc435181706"/>
      <w:bookmarkStart w:id="620" w:name="_Toc435182359"/>
      <w:bookmarkStart w:id="621" w:name="_Toc435183400"/>
      <w:bookmarkStart w:id="622" w:name="_Toc435181037"/>
      <w:bookmarkStart w:id="623" w:name="_Toc435181707"/>
      <w:bookmarkStart w:id="624" w:name="_Toc435182360"/>
      <w:bookmarkStart w:id="625" w:name="_Toc435183401"/>
      <w:bookmarkStart w:id="626" w:name="_Toc435181038"/>
      <w:bookmarkStart w:id="627" w:name="_Toc435181708"/>
      <w:bookmarkStart w:id="628" w:name="_Toc435182361"/>
      <w:bookmarkStart w:id="629" w:name="_Toc435183402"/>
      <w:bookmarkStart w:id="630" w:name="_Toc435181039"/>
      <w:bookmarkStart w:id="631" w:name="_Toc435181709"/>
      <w:bookmarkStart w:id="632" w:name="_Toc435182362"/>
      <w:bookmarkStart w:id="633" w:name="_Toc435183403"/>
      <w:bookmarkStart w:id="634" w:name="_Toc435181040"/>
      <w:bookmarkStart w:id="635" w:name="_Toc435181710"/>
      <w:bookmarkStart w:id="636" w:name="_Toc435182363"/>
      <w:bookmarkStart w:id="637" w:name="_Toc435183404"/>
      <w:bookmarkStart w:id="638" w:name="_Toc435181041"/>
      <w:bookmarkStart w:id="639" w:name="_Toc435181711"/>
      <w:bookmarkStart w:id="640" w:name="_Toc435182364"/>
      <w:bookmarkStart w:id="641" w:name="_Toc435183405"/>
      <w:bookmarkStart w:id="642" w:name="_Toc435181042"/>
      <w:bookmarkStart w:id="643" w:name="_Toc435181712"/>
      <w:bookmarkStart w:id="644" w:name="_Toc435182365"/>
      <w:bookmarkStart w:id="645" w:name="_Toc435183406"/>
      <w:bookmarkStart w:id="646" w:name="_Toc435181043"/>
      <w:bookmarkStart w:id="647" w:name="_Toc435181713"/>
      <w:bookmarkStart w:id="648" w:name="_Toc435182366"/>
      <w:bookmarkStart w:id="649" w:name="_Toc435183407"/>
      <w:bookmarkStart w:id="650" w:name="_Toc435181044"/>
      <w:bookmarkStart w:id="651" w:name="_Toc435181714"/>
      <w:bookmarkStart w:id="652" w:name="_Toc435182367"/>
      <w:bookmarkStart w:id="653" w:name="_Toc435183408"/>
      <w:bookmarkStart w:id="654" w:name="_Toc435181045"/>
      <w:bookmarkStart w:id="655" w:name="_Toc435181715"/>
      <w:bookmarkStart w:id="656" w:name="_Toc435182368"/>
      <w:bookmarkStart w:id="657" w:name="_Toc435183409"/>
      <w:bookmarkStart w:id="658" w:name="_Toc435181046"/>
      <w:bookmarkStart w:id="659" w:name="_Toc435181716"/>
      <w:bookmarkStart w:id="660" w:name="_Toc435182369"/>
      <w:bookmarkStart w:id="661" w:name="_Toc435183410"/>
      <w:bookmarkStart w:id="662" w:name="_Toc435181047"/>
      <w:bookmarkStart w:id="663" w:name="_Toc435181717"/>
      <w:bookmarkStart w:id="664" w:name="_Toc435182370"/>
      <w:bookmarkStart w:id="665" w:name="_Toc435183411"/>
      <w:bookmarkStart w:id="666" w:name="_Toc435181048"/>
      <w:bookmarkStart w:id="667" w:name="_Toc435181718"/>
      <w:bookmarkStart w:id="668" w:name="_Toc435182371"/>
      <w:bookmarkStart w:id="669" w:name="_Toc435183412"/>
      <w:bookmarkStart w:id="670" w:name="_Toc435181049"/>
      <w:bookmarkStart w:id="671" w:name="_Toc435181719"/>
      <w:bookmarkStart w:id="672" w:name="_Toc435182372"/>
      <w:bookmarkStart w:id="673" w:name="_Toc435183413"/>
      <w:bookmarkStart w:id="674" w:name="_Toc435181050"/>
      <w:bookmarkStart w:id="675" w:name="_Toc435181720"/>
      <w:bookmarkStart w:id="676" w:name="_Toc435182373"/>
      <w:bookmarkStart w:id="677" w:name="_Toc435183414"/>
      <w:bookmarkStart w:id="678" w:name="_Toc435181090"/>
      <w:bookmarkStart w:id="679" w:name="_Toc435181760"/>
      <w:bookmarkStart w:id="680" w:name="_Toc435182413"/>
      <w:bookmarkStart w:id="681" w:name="_Toc435183454"/>
      <w:bookmarkStart w:id="682" w:name="_Toc435181091"/>
      <w:bookmarkStart w:id="683" w:name="_Toc435181761"/>
      <w:bookmarkStart w:id="684" w:name="_Toc435182414"/>
      <w:bookmarkStart w:id="685" w:name="_Toc435183455"/>
      <w:bookmarkStart w:id="686" w:name="_Toc435181104"/>
      <w:bookmarkStart w:id="687" w:name="_Toc435181774"/>
      <w:bookmarkStart w:id="688" w:name="_Toc435182427"/>
      <w:bookmarkStart w:id="689" w:name="_Toc435183468"/>
      <w:bookmarkStart w:id="690" w:name="_Toc435181105"/>
      <w:bookmarkStart w:id="691" w:name="_Toc435181775"/>
      <w:bookmarkStart w:id="692" w:name="_Toc435182428"/>
      <w:bookmarkStart w:id="693" w:name="_Toc435183469"/>
      <w:bookmarkStart w:id="694" w:name="_Toc435181106"/>
      <w:bookmarkStart w:id="695" w:name="_Toc435181776"/>
      <w:bookmarkStart w:id="696" w:name="_Toc435182429"/>
      <w:bookmarkStart w:id="697" w:name="_Toc435183470"/>
      <w:bookmarkStart w:id="698" w:name="_Toc435181107"/>
      <w:bookmarkStart w:id="699" w:name="_Toc435181777"/>
      <w:bookmarkStart w:id="700" w:name="_Toc435182430"/>
      <w:bookmarkStart w:id="701" w:name="_Toc435183471"/>
      <w:bookmarkStart w:id="702" w:name="_Toc435181108"/>
      <w:bookmarkStart w:id="703" w:name="_Toc435181778"/>
      <w:bookmarkStart w:id="704" w:name="_Toc435182431"/>
      <w:bookmarkStart w:id="705" w:name="_Toc435183472"/>
      <w:bookmarkStart w:id="706" w:name="_Toc435181109"/>
      <w:bookmarkStart w:id="707" w:name="_Toc435181779"/>
      <w:bookmarkStart w:id="708" w:name="_Toc435182432"/>
      <w:bookmarkStart w:id="709" w:name="_Toc435183473"/>
      <w:bookmarkStart w:id="710" w:name="_Toc435181110"/>
      <w:bookmarkStart w:id="711" w:name="_Toc435181780"/>
      <w:bookmarkStart w:id="712" w:name="_Toc435182433"/>
      <w:bookmarkStart w:id="713" w:name="_Toc435183474"/>
      <w:bookmarkStart w:id="714" w:name="_Toc435181111"/>
      <w:bookmarkStart w:id="715" w:name="_Toc435181781"/>
      <w:bookmarkStart w:id="716" w:name="_Toc435182434"/>
      <w:bookmarkStart w:id="717" w:name="_Toc435183475"/>
      <w:bookmarkStart w:id="718" w:name="_Toc435181112"/>
      <w:bookmarkStart w:id="719" w:name="_Toc435181782"/>
      <w:bookmarkStart w:id="720" w:name="_Toc435182435"/>
      <w:bookmarkStart w:id="721" w:name="_Toc435183476"/>
      <w:bookmarkStart w:id="722" w:name="_Toc435181113"/>
      <w:bookmarkStart w:id="723" w:name="_Toc435181783"/>
      <w:bookmarkStart w:id="724" w:name="_Toc435182436"/>
      <w:bookmarkStart w:id="725" w:name="_Toc435183477"/>
      <w:bookmarkStart w:id="726" w:name="_Toc435181114"/>
      <w:bookmarkStart w:id="727" w:name="_Toc435181784"/>
      <w:bookmarkStart w:id="728" w:name="_Toc435182437"/>
      <w:bookmarkStart w:id="729" w:name="_Toc435183478"/>
      <w:bookmarkStart w:id="730" w:name="_Toc435181115"/>
      <w:bookmarkStart w:id="731" w:name="_Toc435181785"/>
      <w:bookmarkStart w:id="732" w:name="_Toc435182438"/>
      <w:bookmarkStart w:id="733" w:name="_Toc435183479"/>
      <w:bookmarkStart w:id="734" w:name="_Toc435181116"/>
      <w:bookmarkStart w:id="735" w:name="_Toc435181786"/>
      <w:bookmarkStart w:id="736" w:name="_Toc435182439"/>
      <w:bookmarkStart w:id="737" w:name="_Toc435183480"/>
      <w:bookmarkStart w:id="738" w:name="_Toc435181117"/>
      <w:bookmarkStart w:id="739" w:name="_Toc435181787"/>
      <w:bookmarkStart w:id="740" w:name="_Toc435182440"/>
      <w:bookmarkStart w:id="741" w:name="_Toc435183481"/>
      <w:bookmarkStart w:id="742" w:name="_Toc435181118"/>
      <w:bookmarkStart w:id="743" w:name="_Toc435181788"/>
      <w:bookmarkStart w:id="744" w:name="_Toc435182441"/>
      <w:bookmarkStart w:id="745" w:name="_Toc435183482"/>
      <w:bookmarkStart w:id="746" w:name="_Toc435181119"/>
      <w:bookmarkStart w:id="747" w:name="_Toc435181789"/>
      <w:bookmarkStart w:id="748" w:name="_Toc435182442"/>
      <w:bookmarkStart w:id="749" w:name="_Toc435183483"/>
      <w:bookmarkStart w:id="750" w:name="_Toc435181120"/>
      <w:bookmarkStart w:id="751" w:name="_Toc435181790"/>
      <w:bookmarkStart w:id="752" w:name="_Toc435182443"/>
      <w:bookmarkStart w:id="753" w:name="_Toc435183484"/>
      <w:bookmarkStart w:id="754" w:name="_Toc435181121"/>
      <w:bookmarkStart w:id="755" w:name="_Toc435181791"/>
      <w:bookmarkStart w:id="756" w:name="_Toc435182444"/>
      <w:bookmarkStart w:id="757" w:name="_Toc435183485"/>
      <w:bookmarkStart w:id="758" w:name="_Toc435181122"/>
      <w:bookmarkStart w:id="759" w:name="_Toc435181792"/>
      <w:bookmarkStart w:id="760" w:name="_Toc435182445"/>
      <w:bookmarkStart w:id="761" w:name="_Toc435183486"/>
      <w:bookmarkStart w:id="762" w:name="_Toc435181123"/>
      <w:bookmarkStart w:id="763" w:name="_Toc435181793"/>
      <w:bookmarkStart w:id="764" w:name="_Toc435182446"/>
      <w:bookmarkStart w:id="765" w:name="_Toc435183487"/>
      <w:bookmarkStart w:id="766" w:name="_Toc435181124"/>
      <w:bookmarkStart w:id="767" w:name="_Toc435181794"/>
      <w:bookmarkStart w:id="768" w:name="_Toc435182447"/>
      <w:bookmarkStart w:id="769" w:name="_Toc435183488"/>
      <w:bookmarkStart w:id="770" w:name="_Toc435181125"/>
      <w:bookmarkStart w:id="771" w:name="_Toc435181795"/>
      <w:bookmarkStart w:id="772" w:name="_Toc435182448"/>
      <w:bookmarkStart w:id="773" w:name="_Toc435183489"/>
      <w:bookmarkStart w:id="774" w:name="_Toc435181126"/>
      <w:bookmarkStart w:id="775" w:name="_Toc435181796"/>
      <w:bookmarkStart w:id="776" w:name="_Toc435182449"/>
      <w:bookmarkStart w:id="777" w:name="_Toc435183490"/>
      <w:bookmarkStart w:id="778" w:name="_Toc435181127"/>
      <w:bookmarkStart w:id="779" w:name="_Toc435181797"/>
      <w:bookmarkStart w:id="780" w:name="_Toc435182450"/>
      <w:bookmarkStart w:id="781" w:name="_Toc435183491"/>
      <w:bookmarkStart w:id="782" w:name="_Toc435181128"/>
      <w:bookmarkStart w:id="783" w:name="_Toc435181798"/>
      <w:bookmarkStart w:id="784" w:name="_Toc435182451"/>
      <w:bookmarkStart w:id="785" w:name="_Toc435183492"/>
      <w:bookmarkStart w:id="786" w:name="_Toc435181129"/>
      <w:bookmarkStart w:id="787" w:name="_Toc435181799"/>
      <w:bookmarkStart w:id="788" w:name="_Toc435182452"/>
      <w:bookmarkStart w:id="789" w:name="_Toc435183493"/>
      <w:bookmarkStart w:id="790" w:name="_Toc435181130"/>
      <w:bookmarkStart w:id="791" w:name="_Toc435181800"/>
      <w:bookmarkStart w:id="792" w:name="_Toc435182453"/>
      <w:bookmarkStart w:id="793" w:name="_Toc435183494"/>
      <w:bookmarkStart w:id="794" w:name="_Toc435181131"/>
      <w:bookmarkStart w:id="795" w:name="_Toc435181801"/>
      <w:bookmarkStart w:id="796" w:name="_Toc435182454"/>
      <w:bookmarkStart w:id="797" w:name="_Toc435183495"/>
      <w:bookmarkStart w:id="798" w:name="_Toc435181132"/>
      <w:bookmarkStart w:id="799" w:name="_Toc435181802"/>
      <w:bookmarkStart w:id="800" w:name="_Toc435182455"/>
      <w:bookmarkStart w:id="801" w:name="_Toc435183496"/>
      <w:bookmarkStart w:id="802" w:name="_Toc435181133"/>
      <w:bookmarkStart w:id="803" w:name="_Toc435181803"/>
      <w:bookmarkStart w:id="804" w:name="_Toc435182456"/>
      <w:bookmarkStart w:id="805" w:name="_Toc435183497"/>
      <w:bookmarkStart w:id="806" w:name="_Toc435181134"/>
      <w:bookmarkStart w:id="807" w:name="_Toc435181804"/>
      <w:bookmarkStart w:id="808" w:name="_Toc435182457"/>
      <w:bookmarkStart w:id="809" w:name="_Toc435183498"/>
      <w:bookmarkStart w:id="810" w:name="_Toc435181135"/>
      <w:bookmarkStart w:id="811" w:name="_Toc435181805"/>
      <w:bookmarkStart w:id="812" w:name="_Toc435182458"/>
      <w:bookmarkStart w:id="813" w:name="_Toc435183499"/>
      <w:bookmarkStart w:id="814" w:name="_Toc435181136"/>
      <w:bookmarkStart w:id="815" w:name="_Toc435181806"/>
      <w:bookmarkStart w:id="816" w:name="_Toc435182459"/>
      <w:bookmarkStart w:id="817" w:name="_Toc435183500"/>
      <w:bookmarkStart w:id="818" w:name="_Toc435181137"/>
      <w:bookmarkStart w:id="819" w:name="_Toc435181807"/>
      <w:bookmarkStart w:id="820" w:name="_Toc435182460"/>
      <w:bookmarkStart w:id="821" w:name="_Toc435183501"/>
      <w:bookmarkStart w:id="822" w:name="_Toc435181138"/>
      <w:bookmarkStart w:id="823" w:name="_Toc435181808"/>
      <w:bookmarkStart w:id="824" w:name="_Toc435182461"/>
      <w:bookmarkStart w:id="825" w:name="_Toc435183502"/>
      <w:bookmarkStart w:id="826" w:name="_Toc435181139"/>
      <w:bookmarkStart w:id="827" w:name="_Toc435181809"/>
      <w:bookmarkStart w:id="828" w:name="_Toc435182462"/>
      <w:bookmarkStart w:id="829" w:name="_Toc435183503"/>
      <w:bookmarkStart w:id="830" w:name="_Toc435181140"/>
      <w:bookmarkStart w:id="831" w:name="_Toc435181810"/>
      <w:bookmarkStart w:id="832" w:name="_Toc435182463"/>
      <w:bookmarkStart w:id="833" w:name="_Toc435183504"/>
      <w:bookmarkStart w:id="834" w:name="_Toc435181141"/>
      <w:bookmarkStart w:id="835" w:name="_Toc435181811"/>
      <w:bookmarkStart w:id="836" w:name="_Toc435182464"/>
      <w:bookmarkStart w:id="837" w:name="_Toc435183505"/>
      <w:bookmarkStart w:id="838" w:name="_Toc435181142"/>
      <w:bookmarkStart w:id="839" w:name="_Toc435181812"/>
      <w:bookmarkStart w:id="840" w:name="_Toc435182465"/>
      <w:bookmarkStart w:id="841" w:name="_Toc435183506"/>
      <w:bookmarkStart w:id="842" w:name="_Toc435181143"/>
      <w:bookmarkStart w:id="843" w:name="_Toc435181813"/>
      <w:bookmarkStart w:id="844" w:name="_Toc435182466"/>
      <w:bookmarkStart w:id="845" w:name="_Toc435183507"/>
      <w:bookmarkStart w:id="846" w:name="_Toc435181144"/>
      <w:bookmarkStart w:id="847" w:name="_Toc435181814"/>
      <w:bookmarkStart w:id="848" w:name="_Toc435182467"/>
      <w:bookmarkStart w:id="849" w:name="_Toc435183508"/>
      <w:bookmarkStart w:id="850" w:name="_Toc435181145"/>
      <w:bookmarkStart w:id="851" w:name="_Toc435181815"/>
      <w:bookmarkStart w:id="852" w:name="_Toc435182468"/>
      <w:bookmarkStart w:id="853" w:name="_Toc435183509"/>
      <w:bookmarkStart w:id="854" w:name="_Toc435181146"/>
      <w:bookmarkStart w:id="855" w:name="_Toc435181816"/>
      <w:bookmarkStart w:id="856" w:name="_Toc435182469"/>
      <w:bookmarkStart w:id="857" w:name="_Toc435183510"/>
      <w:bookmarkStart w:id="858" w:name="_Toc435181147"/>
      <w:bookmarkStart w:id="859" w:name="_Toc435181817"/>
      <w:bookmarkStart w:id="860" w:name="_Toc435182470"/>
      <w:bookmarkStart w:id="861" w:name="_Toc435183511"/>
      <w:bookmarkStart w:id="862" w:name="_Toc435181148"/>
      <w:bookmarkStart w:id="863" w:name="_Toc435181818"/>
      <w:bookmarkStart w:id="864" w:name="_Toc435182471"/>
      <w:bookmarkStart w:id="865" w:name="_Toc435183512"/>
      <w:bookmarkStart w:id="866" w:name="_Toc435181149"/>
      <w:bookmarkStart w:id="867" w:name="_Toc435181819"/>
      <w:bookmarkStart w:id="868" w:name="_Toc435182472"/>
      <w:bookmarkStart w:id="869" w:name="_Toc435183513"/>
      <w:bookmarkStart w:id="870" w:name="_Toc435181150"/>
      <w:bookmarkStart w:id="871" w:name="_Toc435181820"/>
      <w:bookmarkStart w:id="872" w:name="_Toc435182473"/>
      <w:bookmarkStart w:id="873" w:name="_Toc435183514"/>
      <w:bookmarkStart w:id="874" w:name="_Toc435181151"/>
      <w:bookmarkStart w:id="875" w:name="_Toc435181821"/>
      <w:bookmarkStart w:id="876" w:name="_Toc435182474"/>
      <w:bookmarkStart w:id="877" w:name="_Toc435183515"/>
      <w:bookmarkStart w:id="878" w:name="_Toc435181152"/>
      <w:bookmarkStart w:id="879" w:name="_Toc435181822"/>
      <w:bookmarkStart w:id="880" w:name="_Toc435182475"/>
      <w:bookmarkStart w:id="881" w:name="_Toc435183516"/>
      <w:bookmarkStart w:id="882" w:name="_Toc435181153"/>
      <w:bookmarkStart w:id="883" w:name="_Toc435181823"/>
      <w:bookmarkStart w:id="884" w:name="_Toc435182476"/>
      <w:bookmarkStart w:id="885" w:name="_Toc435183517"/>
      <w:bookmarkStart w:id="886" w:name="_Toc435181154"/>
      <w:bookmarkStart w:id="887" w:name="_Toc435181824"/>
      <w:bookmarkStart w:id="888" w:name="_Toc435182477"/>
      <w:bookmarkStart w:id="889" w:name="_Toc435183518"/>
      <w:bookmarkStart w:id="890" w:name="_Toc435181155"/>
      <w:bookmarkStart w:id="891" w:name="_Toc435181825"/>
      <w:bookmarkStart w:id="892" w:name="_Toc435182478"/>
      <w:bookmarkStart w:id="893" w:name="_Toc435183519"/>
      <w:bookmarkStart w:id="894" w:name="_Toc435181156"/>
      <w:bookmarkStart w:id="895" w:name="_Toc435181826"/>
      <w:bookmarkStart w:id="896" w:name="_Toc435182479"/>
      <w:bookmarkStart w:id="897" w:name="_Toc435183520"/>
      <w:bookmarkStart w:id="898" w:name="_Toc435181157"/>
      <w:bookmarkStart w:id="899" w:name="_Toc435181827"/>
      <w:bookmarkStart w:id="900" w:name="_Toc435182480"/>
      <w:bookmarkStart w:id="901" w:name="_Toc435183521"/>
      <w:bookmarkStart w:id="902" w:name="_Toc435181158"/>
      <w:bookmarkStart w:id="903" w:name="_Toc435181828"/>
      <w:bookmarkStart w:id="904" w:name="_Toc435182481"/>
      <w:bookmarkStart w:id="905" w:name="_Toc435183522"/>
      <w:bookmarkStart w:id="906" w:name="_Toc435181159"/>
      <w:bookmarkStart w:id="907" w:name="_Toc435181829"/>
      <w:bookmarkStart w:id="908" w:name="_Toc435182482"/>
      <w:bookmarkStart w:id="909" w:name="_Toc435183523"/>
      <w:bookmarkStart w:id="910" w:name="_Toc435181160"/>
      <w:bookmarkStart w:id="911" w:name="_Toc435181830"/>
      <w:bookmarkStart w:id="912" w:name="_Toc435182483"/>
      <w:bookmarkStart w:id="913" w:name="_Toc435183524"/>
      <w:bookmarkStart w:id="914" w:name="_Toc435181161"/>
      <w:bookmarkStart w:id="915" w:name="_Toc435181831"/>
      <w:bookmarkStart w:id="916" w:name="_Toc435182484"/>
      <w:bookmarkStart w:id="917" w:name="_Toc435183525"/>
      <w:bookmarkStart w:id="918" w:name="_Toc435181162"/>
      <w:bookmarkStart w:id="919" w:name="_Toc435181832"/>
      <w:bookmarkStart w:id="920" w:name="_Toc435182485"/>
      <w:bookmarkStart w:id="921" w:name="_Toc435183526"/>
      <w:bookmarkStart w:id="922" w:name="_Toc428525891"/>
      <w:bookmarkStart w:id="923" w:name="_Toc428525973"/>
      <w:bookmarkStart w:id="924" w:name="_Toc435181184"/>
      <w:bookmarkStart w:id="925" w:name="_Toc435181854"/>
      <w:bookmarkStart w:id="926" w:name="_Toc435182507"/>
      <w:bookmarkStart w:id="927" w:name="_Toc435183548"/>
      <w:bookmarkStart w:id="928" w:name="_Toc435181185"/>
      <w:bookmarkStart w:id="929" w:name="_Toc435181855"/>
      <w:bookmarkStart w:id="930" w:name="_Toc435182508"/>
      <w:bookmarkStart w:id="931" w:name="_Toc435183549"/>
      <w:bookmarkStart w:id="932" w:name="_Toc435181186"/>
      <w:bookmarkStart w:id="933" w:name="_Toc435181856"/>
      <w:bookmarkStart w:id="934" w:name="_Toc435182509"/>
      <w:bookmarkStart w:id="935" w:name="_Toc435183550"/>
      <w:bookmarkStart w:id="936" w:name="_Toc435181187"/>
      <w:bookmarkStart w:id="937" w:name="_Toc435181857"/>
      <w:bookmarkStart w:id="938" w:name="_Toc435182510"/>
      <w:bookmarkStart w:id="939" w:name="_Toc435183551"/>
      <w:bookmarkStart w:id="940" w:name="_Toc435181197"/>
      <w:bookmarkStart w:id="941" w:name="_Toc435181867"/>
      <w:bookmarkStart w:id="942" w:name="_Toc435182520"/>
      <w:bookmarkStart w:id="943" w:name="_Toc435183561"/>
      <w:bookmarkStart w:id="944" w:name="_Toc435181198"/>
      <w:bookmarkStart w:id="945" w:name="_Toc435181868"/>
      <w:bookmarkStart w:id="946" w:name="_Toc435182521"/>
      <w:bookmarkStart w:id="947" w:name="_Toc435183562"/>
      <w:bookmarkStart w:id="948" w:name="_Toc435181199"/>
      <w:bookmarkStart w:id="949" w:name="_Toc435181869"/>
      <w:bookmarkStart w:id="950" w:name="_Toc435182522"/>
      <w:bookmarkStart w:id="951" w:name="_Toc435183563"/>
      <w:bookmarkStart w:id="952" w:name="_Toc435181200"/>
      <w:bookmarkStart w:id="953" w:name="_Toc435181870"/>
      <w:bookmarkStart w:id="954" w:name="_Toc435182523"/>
      <w:bookmarkStart w:id="955" w:name="_Toc435183564"/>
      <w:bookmarkStart w:id="956" w:name="_Toc435181201"/>
      <w:bookmarkStart w:id="957" w:name="_Toc435181871"/>
      <w:bookmarkStart w:id="958" w:name="_Toc435182524"/>
      <w:bookmarkStart w:id="959" w:name="_Toc435183565"/>
      <w:bookmarkStart w:id="960" w:name="_Toc435181211"/>
      <w:bookmarkStart w:id="961" w:name="_Toc435181881"/>
      <w:bookmarkStart w:id="962" w:name="_Toc435182534"/>
      <w:bookmarkStart w:id="963" w:name="_Toc435183575"/>
      <w:bookmarkStart w:id="964" w:name="_Toc435181212"/>
      <w:bookmarkStart w:id="965" w:name="_Toc435181882"/>
      <w:bookmarkStart w:id="966" w:name="_Toc435182535"/>
      <w:bookmarkStart w:id="967" w:name="_Toc435183576"/>
      <w:bookmarkStart w:id="968" w:name="_Toc435181213"/>
      <w:bookmarkStart w:id="969" w:name="_Toc435181883"/>
      <w:bookmarkStart w:id="970" w:name="_Toc435182536"/>
      <w:bookmarkStart w:id="971" w:name="_Toc435183577"/>
      <w:bookmarkStart w:id="972" w:name="_Toc435181214"/>
      <w:bookmarkStart w:id="973" w:name="_Toc435181884"/>
      <w:bookmarkStart w:id="974" w:name="_Toc435182537"/>
      <w:bookmarkStart w:id="975" w:name="_Toc435183578"/>
      <w:bookmarkStart w:id="976" w:name="_Toc435181215"/>
      <w:bookmarkStart w:id="977" w:name="_Toc435181885"/>
      <w:bookmarkStart w:id="978" w:name="_Toc435182538"/>
      <w:bookmarkStart w:id="979" w:name="_Toc435183579"/>
      <w:bookmarkStart w:id="980" w:name="_Toc435181216"/>
      <w:bookmarkStart w:id="981" w:name="_Toc435181886"/>
      <w:bookmarkStart w:id="982" w:name="_Toc435182539"/>
      <w:bookmarkStart w:id="983" w:name="_Toc435183580"/>
      <w:bookmarkStart w:id="984" w:name="_Toc435181217"/>
      <w:bookmarkStart w:id="985" w:name="_Toc435181887"/>
      <w:bookmarkStart w:id="986" w:name="_Toc435182540"/>
      <w:bookmarkStart w:id="987" w:name="_Toc435183581"/>
      <w:bookmarkStart w:id="988" w:name="_Toc435181218"/>
      <w:bookmarkStart w:id="989" w:name="_Toc435181888"/>
      <w:bookmarkStart w:id="990" w:name="_Toc435182541"/>
      <w:bookmarkStart w:id="991" w:name="_Toc435183582"/>
      <w:bookmarkStart w:id="992" w:name="_Toc435181219"/>
      <w:bookmarkStart w:id="993" w:name="_Toc435181889"/>
      <w:bookmarkStart w:id="994" w:name="_Toc435182542"/>
      <w:bookmarkStart w:id="995" w:name="_Toc435183583"/>
      <w:bookmarkStart w:id="996" w:name="_Toc435181220"/>
      <w:bookmarkStart w:id="997" w:name="_Toc435181890"/>
      <w:bookmarkStart w:id="998" w:name="_Toc435182543"/>
      <w:bookmarkStart w:id="999" w:name="_Toc435183584"/>
      <w:bookmarkStart w:id="1000" w:name="_Toc435181221"/>
      <w:bookmarkStart w:id="1001" w:name="_Toc435181891"/>
      <w:bookmarkStart w:id="1002" w:name="_Toc435182544"/>
      <w:bookmarkStart w:id="1003" w:name="_Toc435183585"/>
      <w:bookmarkStart w:id="1004" w:name="_Toc435181222"/>
      <w:bookmarkStart w:id="1005" w:name="_Toc435181892"/>
      <w:bookmarkStart w:id="1006" w:name="_Toc435182545"/>
      <w:bookmarkStart w:id="1007" w:name="_Toc435183586"/>
      <w:bookmarkStart w:id="1008" w:name="_Toc435181223"/>
      <w:bookmarkStart w:id="1009" w:name="_Toc435181893"/>
      <w:bookmarkStart w:id="1010" w:name="_Toc435182546"/>
      <w:bookmarkStart w:id="1011" w:name="_Toc435183587"/>
      <w:bookmarkStart w:id="1012" w:name="_Toc435181224"/>
      <w:bookmarkStart w:id="1013" w:name="_Toc435181894"/>
      <w:bookmarkStart w:id="1014" w:name="_Toc435182547"/>
      <w:bookmarkStart w:id="1015" w:name="_Toc435183588"/>
      <w:bookmarkStart w:id="1016" w:name="_Toc435181225"/>
      <w:bookmarkStart w:id="1017" w:name="_Toc435181895"/>
      <w:bookmarkStart w:id="1018" w:name="_Toc435182548"/>
      <w:bookmarkStart w:id="1019" w:name="_Toc435183589"/>
      <w:bookmarkStart w:id="1020" w:name="_Toc435181226"/>
      <w:bookmarkStart w:id="1021" w:name="_Toc435181896"/>
      <w:bookmarkStart w:id="1022" w:name="_Toc435182549"/>
      <w:bookmarkStart w:id="1023" w:name="_Toc435183590"/>
      <w:bookmarkStart w:id="1024" w:name="_Toc435181227"/>
      <w:bookmarkStart w:id="1025" w:name="_Toc435181897"/>
      <w:bookmarkStart w:id="1026" w:name="_Toc435182550"/>
      <w:bookmarkStart w:id="1027" w:name="_Toc435183591"/>
      <w:bookmarkStart w:id="1028" w:name="_Toc435181228"/>
      <w:bookmarkStart w:id="1029" w:name="_Toc435181898"/>
      <w:bookmarkStart w:id="1030" w:name="_Toc435182551"/>
      <w:bookmarkStart w:id="1031" w:name="_Toc435183592"/>
      <w:bookmarkStart w:id="1032" w:name="_Toc435181229"/>
      <w:bookmarkStart w:id="1033" w:name="_Toc435181899"/>
      <w:bookmarkStart w:id="1034" w:name="_Toc435182552"/>
      <w:bookmarkStart w:id="1035" w:name="_Toc435183593"/>
      <w:bookmarkStart w:id="1036" w:name="_Toc435181230"/>
      <w:bookmarkStart w:id="1037" w:name="_Toc435181900"/>
      <w:bookmarkStart w:id="1038" w:name="_Toc435182553"/>
      <w:bookmarkStart w:id="1039" w:name="_Toc435183594"/>
      <w:bookmarkStart w:id="1040" w:name="_Toc435181231"/>
      <w:bookmarkStart w:id="1041" w:name="_Toc435181901"/>
      <w:bookmarkStart w:id="1042" w:name="_Toc435182554"/>
      <w:bookmarkStart w:id="1043" w:name="_Toc435183595"/>
      <w:bookmarkStart w:id="1044" w:name="_Toc435181232"/>
      <w:bookmarkStart w:id="1045" w:name="_Toc435181902"/>
      <w:bookmarkStart w:id="1046" w:name="_Toc435182555"/>
      <w:bookmarkStart w:id="1047" w:name="_Toc435183596"/>
      <w:bookmarkStart w:id="1048" w:name="_Toc435181233"/>
      <w:bookmarkStart w:id="1049" w:name="_Toc435181903"/>
      <w:bookmarkStart w:id="1050" w:name="_Toc435182556"/>
      <w:bookmarkStart w:id="1051" w:name="_Toc435183597"/>
      <w:bookmarkStart w:id="1052" w:name="_Toc435181234"/>
      <w:bookmarkStart w:id="1053" w:name="_Toc435181904"/>
      <w:bookmarkStart w:id="1054" w:name="_Toc435182557"/>
      <w:bookmarkStart w:id="1055" w:name="_Toc435183598"/>
      <w:bookmarkStart w:id="1056" w:name="_Toc435181235"/>
      <w:bookmarkStart w:id="1057" w:name="_Toc435181905"/>
      <w:bookmarkStart w:id="1058" w:name="_Toc435182558"/>
      <w:bookmarkStart w:id="1059" w:name="_Toc435183599"/>
      <w:bookmarkStart w:id="1060" w:name="_Toc435181236"/>
      <w:bookmarkStart w:id="1061" w:name="_Toc435181906"/>
      <w:bookmarkStart w:id="1062" w:name="_Toc435182559"/>
      <w:bookmarkStart w:id="1063" w:name="_Toc435183600"/>
      <w:bookmarkStart w:id="1064" w:name="_Toc435181237"/>
      <w:bookmarkStart w:id="1065" w:name="_Toc435181907"/>
      <w:bookmarkStart w:id="1066" w:name="_Toc435182560"/>
      <w:bookmarkStart w:id="1067" w:name="_Toc435183601"/>
      <w:bookmarkStart w:id="1068" w:name="_Toc435181238"/>
      <w:bookmarkStart w:id="1069" w:name="_Toc435181908"/>
      <w:bookmarkStart w:id="1070" w:name="_Toc435182561"/>
      <w:bookmarkStart w:id="1071" w:name="_Toc435183602"/>
      <w:bookmarkStart w:id="1072" w:name="_Toc435181239"/>
      <w:bookmarkStart w:id="1073" w:name="_Toc435181909"/>
      <w:bookmarkStart w:id="1074" w:name="_Toc435182562"/>
      <w:bookmarkStart w:id="1075" w:name="_Toc435183603"/>
      <w:bookmarkStart w:id="1076" w:name="_Toc435181240"/>
      <w:bookmarkStart w:id="1077" w:name="_Toc435181910"/>
      <w:bookmarkStart w:id="1078" w:name="_Toc435182563"/>
      <w:bookmarkStart w:id="1079" w:name="_Toc435183604"/>
      <w:bookmarkStart w:id="1080" w:name="_Toc435181241"/>
      <w:bookmarkStart w:id="1081" w:name="_Toc435181911"/>
      <w:bookmarkStart w:id="1082" w:name="_Toc435182564"/>
      <w:bookmarkStart w:id="1083" w:name="_Toc435183605"/>
      <w:bookmarkStart w:id="1084" w:name="_Toc435181242"/>
      <w:bookmarkStart w:id="1085" w:name="_Toc435181912"/>
      <w:bookmarkStart w:id="1086" w:name="_Toc435182565"/>
      <w:bookmarkStart w:id="1087" w:name="_Toc435183606"/>
      <w:bookmarkStart w:id="1088" w:name="_Toc435181243"/>
      <w:bookmarkStart w:id="1089" w:name="_Toc435181913"/>
      <w:bookmarkStart w:id="1090" w:name="_Toc435182566"/>
      <w:bookmarkStart w:id="1091" w:name="_Toc435183607"/>
      <w:bookmarkStart w:id="1092" w:name="_Toc435181244"/>
      <w:bookmarkStart w:id="1093" w:name="_Toc435181914"/>
      <w:bookmarkStart w:id="1094" w:name="_Toc435182567"/>
      <w:bookmarkStart w:id="1095" w:name="_Toc435183608"/>
      <w:bookmarkStart w:id="1096" w:name="_Toc435181245"/>
      <w:bookmarkStart w:id="1097" w:name="_Toc435181915"/>
      <w:bookmarkStart w:id="1098" w:name="_Toc435182568"/>
      <w:bookmarkStart w:id="1099" w:name="_Toc435183609"/>
      <w:bookmarkStart w:id="1100" w:name="_Toc428367844"/>
      <w:bookmarkStart w:id="1101" w:name="_Toc435181246"/>
      <w:bookmarkStart w:id="1102" w:name="_Toc435181916"/>
      <w:bookmarkStart w:id="1103" w:name="_Toc435182569"/>
      <w:bookmarkStart w:id="1104" w:name="_Toc435183610"/>
      <w:bookmarkStart w:id="1105" w:name="_Toc435181247"/>
      <w:bookmarkStart w:id="1106" w:name="_Toc435181917"/>
      <w:bookmarkStart w:id="1107" w:name="_Toc435182570"/>
      <w:bookmarkStart w:id="1108" w:name="_Toc435183611"/>
      <w:bookmarkStart w:id="1109" w:name="_Toc435181248"/>
      <w:bookmarkStart w:id="1110" w:name="_Toc435181918"/>
      <w:bookmarkStart w:id="1111" w:name="_Toc435182571"/>
      <w:bookmarkStart w:id="1112" w:name="_Toc435183612"/>
      <w:bookmarkStart w:id="1113" w:name="_Toc435181249"/>
      <w:bookmarkStart w:id="1114" w:name="_Toc435181919"/>
      <w:bookmarkStart w:id="1115" w:name="_Toc435182572"/>
      <w:bookmarkStart w:id="1116" w:name="_Toc435183613"/>
      <w:bookmarkStart w:id="1117" w:name="_Toc428455136"/>
      <w:bookmarkStart w:id="1118" w:name="_Toc428524947"/>
      <w:bookmarkStart w:id="1119" w:name="_Toc428525217"/>
      <w:bookmarkStart w:id="1120" w:name="_Toc428525379"/>
      <w:bookmarkStart w:id="1121" w:name="_Toc428525898"/>
      <w:bookmarkStart w:id="1122" w:name="_Toc428525980"/>
      <w:bookmarkStart w:id="1123" w:name="_Toc435181250"/>
      <w:bookmarkStart w:id="1124" w:name="_Toc435181920"/>
      <w:bookmarkStart w:id="1125" w:name="_Toc435182573"/>
      <w:bookmarkStart w:id="1126" w:name="_Toc435183614"/>
      <w:bookmarkStart w:id="1127" w:name="_Toc435181251"/>
      <w:bookmarkStart w:id="1128" w:name="_Toc435181921"/>
      <w:bookmarkStart w:id="1129" w:name="_Toc435182574"/>
      <w:bookmarkStart w:id="1130" w:name="_Toc435183615"/>
      <w:bookmarkStart w:id="1131" w:name="_Toc435181252"/>
      <w:bookmarkStart w:id="1132" w:name="_Toc435181922"/>
      <w:bookmarkStart w:id="1133" w:name="_Toc435182575"/>
      <w:bookmarkStart w:id="1134" w:name="_Toc435183616"/>
      <w:bookmarkStart w:id="1135" w:name="_Toc435181253"/>
      <w:bookmarkStart w:id="1136" w:name="_Toc435181923"/>
      <w:bookmarkStart w:id="1137" w:name="_Toc435182576"/>
      <w:bookmarkStart w:id="1138" w:name="_Toc435183617"/>
      <w:bookmarkStart w:id="1139" w:name="_Toc435181254"/>
      <w:bookmarkStart w:id="1140" w:name="_Toc435181924"/>
      <w:bookmarkStart w:id="1141" w:name="_Toc435182577"/>
      <w:bookmarkStart w:id="1142" w:name="_Toc435183618"/>
      <w:bookmarkStart w:id="1143" w:name="_Toc435181255"/>
      <w:bookmarkStart w:id="1144" w:name="_Toc435181925"/>
      <w:bookmarkStart w:id="1145" w:name="_Toc435182578"/>
      <w:bookmarkStart w:id="1146" w:name="_Toc435183619"/>
      <w:bookmarkStart w:id="1147" w:name="_Toc435181256"/>
      <w:bookmarkStart w:id="1148" w:name="_Toc435181926"/>
      <w:bookmarkStart w:id="1149" w:name="_Toc435182579"/>
      <w:bookmarkStart w:id="1150" w:name="_Toc435183620"/>
      <w:bookmarkStart w:id="1151" w:name="_Toc435181257"/>
      <w:bookmarkStart w:id="1152" w:name="_Toc435181927"/>
      <w:bookmarkStart w:id="1153" w:name="_Toc435182580"/>
      <w:bookmarkStart w:id="1154" w:name="_Toc435183621"/>
      <w:bookmarkStart w:id="1155" w:name="_Toc435181258"/>
      <w:bookmarkStart w:id="1156" w:name="_Toc435181928"/>
      <w:bookmarkStart w:id="1157" w:name="_Toc435182581"/>
      <w:bookmarkStart w:id="1158" w:name="_Toc435183622"/>
      <w:bookmarkStart w:id="1159" w:name="_Toc435181259"/>
      <w:bookmarkStart w:id="1160" w:name="_Toc435181929"/>
      <w:bookmarkStart w:id="1161" w:name="_Toc435182582"/>
      <w:bookmarkStart w:id="1162" w:name="_Toc435183623"/>
      <w:bookmarkStart w:id="1163" w:name="_Toc435181260"/>
      <w:bookmarkStart w:id="1164" w:name="_Toc435181930"/>
      <w:bookmarkStart w:id="1165" w:name="_Toc435182583"/>
      <w:bookmarkStart w:id="1166" w:name="_Toc435183624"/>
      <w:bookmarkStart w:id="1167" w:name="_Toc435181261"/>
      <w:bookmarkStart w:id="1168" w:name="_Toc435181931"/>
      <w:bookmarkStart w:id="1169" w:name="_Toc435182584"/>
      <w:bookmarkStart w:id="1170" w:name="_Toc435183625"/>
      <w:bookmarkStart w:id="1171" w:name="_Toc435181262"/>
      <w:bookmarkStart w:id="1172" w:name="_Toc435181932"/>
      <w:bookmarkStart w:id="1173" w:name="_Toc435182585"/>
      <w:bookmarkStart w:id="1174" w:name="_Toc435183626"/>
      <w:bookmarkStart w:id="1175" w:name="_Toc435181263"/>
      <w:bookmarkStart w:id="1176" w:name="_Toc435181933"/>
      <w:bookmarkStart w:id="1177" w:name="_Toc435182586"/>
      <w:bookmarkStart w:id="1178" w:name="_Toc435183627"/>
      <w:bookmarkStart w:id="1179" w:name="_Toc435181264"/>
      <w:bookmarkStart w:id="1180" w:name="_Toc435181934"/>
      <w:bookmarkStart w:id="1181" w:name="_Toc435182587"/>
      <w:bookmarkStart w:id="1182" w:name="_Toc435183628"/>
      <w:bookmarkStart w:id="1183" w:name="_Toc428455139"/>
      <w:bookmarkStart w:id="1184" w:name="_Toc428524950"/>
      <w:bookmarkStart w:id="1185" w:name="_Toc428525220"/>
      <w:bookmarkStart w:id="1186" w:name="_Toc428525382"/>
      <w:bookmarkStart w:id="1187" w:name="_Toc428525901"/>
      <w:bookmarkStart w:id="1188" w:name="_Toc428525983"/>
      <w:bookmarkStart w:id="1189" w:name="_Toc435181265"/>
      <w:bookmarkStart w:id="1190" w:name="_Toc435181935"/>
      <w:bookmarkStart w:id="1191" w:name="_Toc435182588"/>
      <w:bookmarkStart w:id="1192" w:name="_Toc435183629"/>
      <w:bookmarkStart w:id="1193" w:name="_Toc435181266"/>
      <w:bookmarkStart w:id="1194" w:name="_Toc435181936"/>
      <w:bookmarkStart w:id="1195" w:name="_Toc435182589"/>
      <w:bookmarkStart w:id="1196" w:name="_Toc435183630"/>
      <w:bookmarkStart w:id="1197" w:name="_Toc435181267"/>
      <w:bookmarkStart w:id="1198" w:name="_Toc435181937"/>
      <w:bookmarkStart w:id="1199" w:name="_Toc435182590"/>
      <w:bookmarkStart w:id="1200" w:name="_Toc435183631"/>
      <w:bookmarkStart w:id="1201" w:name="_Toc435181268"/>
      <w:bookmarkStart w:id="1202" w:name="_Toc435181938"/>
      <w:bookmarkStart w:id="1203" w:name="_Toc435182591"/>
      <w:bookmarkStart w:id="1204" w:name="_Toc435183632"/>
      <w:bookmarkStart w:id="1205" w:name="_Toc435181269"/>
      <w:bookmarkStart w:id="1206" w:name="_Toc435181939"/>
      <w:bookmarkStart w:id="1207" w:name="_Toc435182592"/>
      <w:bookmarkStart w:id="1208" w:name="_Toc435183633"/>
      <w:bookmarkStart w:id="1209" w:name="_Toc435181270"/>
      <w:bookmarkStart w:id="1210" w:name="_Toc435181940"/>
      <w:bookmarkStart w:id="1211" w:name="_Toc435182593"/>
      <w:bookmarkStart w:id="1212" w:name="_Toc435183634"/>
      <w:bookmarkStart w:id="1213" w:name="_Toc435181271"/>
      <w:bookmarkStart w:id="1214" w:name="_Toc435181941"/>
      <w:bookmarkStart w:id="1215" w:name="_Toc435182594"/>
      <w:bookmarkStart w:id="1216" w:name="_Toc435183635"/>
      <w:bookmarkStart w:id="1217" w:name="_Toc435181272"/>
      <w:bookmarkStart w:id="1218" w:name="_Toc435181942"/>
      <w:bookmarkStart w:id="1219" w:name="_Toc435182595"/>
      <w:bookmarkStart w:id="1220" w:name="_Toc435183636"/>
      <w:bookmarkStart w:id="1221" w:name="_Toc435181273"/>
      <w:bookmarkStart w:id="1222" w:name="_Toc435181943"/>
      <w:bookmarkStart w:id="1223" w:name="_Toc435182596"/>
      <w:bookmarkStart w:id="1224" w:name="_Toc435183637"/>
      <w:bookmarkStart w:id="1225" w:name="_Toc435181274"/>
      <w:bookmarkStart w:id="1226" w:name="_Toc435181944"/>
      <w:bookmarkStart w:id="1227" w:name="_Toc435182597"/>
      <w:bookmarkStart w:id="1228" w:name="_Toc435183638"/>
      <w:bookmarkStart w:id="1229" w:name="_Toc435181275"/>
      <w:bookmarkStart w:id="1230" w:name="_Toc435181945"/>
      <w:bookmarkStart w:id="1231" w:name="_Toc435182598"/>
      <w:bookmarkStart w:id="1232" w:name="_Toc435183639"/>
      <w:bookmarkStart w:id="1233" w:name="_Toc435181276"/>
      <w:bookmarkStart w:id="1234" w:name="_Toc435181946"/>
      <w:bookmarkStart w:id="1235" w:name="_Toc435182599"/>
      <w:bookmarkStart w:id="1236" w:name="_Toc435183640"/>
      <w:bookmarkStart w:id="1237" w:name="_Toc435181277"/>
      <w:bookmarkStart w:id="1238" w:name="_Toc435181947"/>
      <w:bookmarkStart w:id="1239" w:name="_Toc435182600"/>
      <w:bookmarkStart w:id="1240" w:name="_Toc435183641"/>
      <w:bookmarkStart w:id="1241" w:name="_Toc435181314"/>
      <w:bookmarkStart w:id="1242" w:name="_Toc435181984"/>
      <w:bookmarkStart w:id="1243" w:name="_Toc435182637"/>
      <w:bookmarkStart w:id="1244" w:name="_Toc43518367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rsidR="00F90563" w:rsidRDefault="00422612" w:rsidP="00F7104D">
      <w:pPr>
        <w:pStyle w:val="Heading2"/>
      </w:pPr>
      <w:bookmarkStart w:id="1245" w:name="_Toc486859702"/>
      <w:r>
        <w:t>T</w:t>
      </w:r>
      <w:r w:rsidR="00F90563">
        <w:t xml:space="preserve">est Execution Summary by </w:t>
      </w:r>
      <w:r w:rsidR="00736207">
        <w:t>Participants</w:t>
      </w:r>
      <w:bookmarkEnd w:id="1245"/>
      <w:r w:rsidR="00787F23">
        <w:t xml:space="preserve"> </w:t>
      </w:r>
    </w:p>
    <w:p w:rsidR="00CF58A4" w:rsidRDefault="00CF58A4" w:rsidP="00CF58A4">
      <w:pPr>
        <w:pStyle w:val="BodyText"/>
      </w:pPr>
    </w:p>
    <w:p w:rsidR="00CF58A4" w:rsidRDefault="00CF58A4" w:rsidP="00CF58A4">
      <w:pPr>
        <w:pStyle w:val="BodyText"/>
      </w:pPr>
      <w:r>
        <w:t xml:space="preserve">Only seven participants registered interest in EN/MC industry testing.  Cycle 1 was cancelled as no LNSP’s were in a positon to support test execution.  </w:t>
      </w:r>
      <w:r w:rsidR="00736207">
        <w:t>The results of cycle 2 and 3 are summarised below and test cases detailed in appendix B.</w:t>
      </w:r>
    </w:p>
    <w:p w:rsidR="00736207" w:rsidRPr="00CF58A4" w:rsidRDefault="00736207" w:rsidP="00CF58A4">
      <w:pPr>
        <w:pStyle w:val="BodyText"/>
      </w:pPr>
    </w:p>
    <w:p w:rsidR="00643401" w:rsidRDefault="00F93591" w:rsidP="00643401">
      <w:pPr>
        <w:pStyle w:val="BodyText"/>
        <w:rPr>
          <w:noProof/>
          <w:lang w:eastAsia="en-AU"/>
        </w:rPr>
      </w:pPr>
      <w:r>
        <w:rPr>
          <w:noProof/>
          <w:lang w:eastAsia="en-AU"/>
        </w:rPr>
        <w:drawing>
          <wp:inline distT="0" distB="0" distL="0" distR="0" wp14:anchorId="51AB8101" wp14:editId="6A360580">
            <wp:extent cx="6120765" cy="4513580"/>
            <wp:effectExtent l="0" t="0" r="13335" b="12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241AE" w:rsidRDefault="007241AE" w:rsidP="00643401">
      <w:pPr>
        <w:pStyle w:val="BodyText"/>
        <w:rPr>
          <w:noProof/>
          <w:lang w:eastAsia="en-AU"/>
        </w:rPr>
      </w:pPr>
    </w:p>
    <w:p w:rsidR="007241AE" w:rsidRDefault="007241AE" w:rsidP="00643401">
      <w:pPr>
        <w:pStyle w:val="BodyText"/>
        <w:rPr>
          <w:noProof/>
          <w:lang w:eastAsia="en-AU"/>
        </w:rPr>
      </w:pPr>
    </w:p>
    <w:p w:rsidR="00FF6056" w:rsidRDefault="00F97760" w:rsidP="00F97760">
      <w:pPr>
        <w:pStyle w:val="Caption"/>
      </w:pPr>
      <w:r>
        <w:t>Note: Actual execution count includes N/A status</w:t>
      </w:r>
    </w:p>
    <w:p w:rsidR="00FF6056" w:rsidRDefault="00FF6056">
      <w:pPr>
        <w:rPr>
          <w:rFonts w:ascii="Arial" w:hAnsi="Arial"/>
          <w:sz w:val="22"/>
          <w:szCs w:val="20"/>
          <w:lang w:eastAsia="en-US"/>
        </w:rPr>
      </w:pPr>
    </w:p>
    <w:p w:rsidR="00B57CBE" w:rsidRDefault="00F75DB1" w:rsidP="00B57CBE">
      <w:pPr>
        <w:pStyle w:val="BodyText"/>
        <w:rPr>
          <w:noProof/>
          <w:lang w:eastAsia="en-AU"/>
        </w:rPr>
      </w:pPr>
      <w:r>
        <w:rPr>
          <w:noProof/>
          <w:lang w:eastAsia="en-AU"/>
        </w:rPr>
        <w:lastRenderedPageBreak/>
        <w:drawing>
          <wp:inline distT="0" distB="0" distL="0" distR="0" wp14:anchorId="76A8B9C6" wp14:editId="357DF656">
            <wp:extent cx="6120765" cy="3665220"/>
            <wp:effectExtent l="0" t="0" r="13335" b="114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A5543" w:rsidRPr="00B57CBE" w:rsidRDefault="003A5543" w:rsidP="00B57CBE">
      <w:pPr>
        <w:pStyle w:val="BodyText"/>
      </w:pPr>
    </w:p>
    <w:p w:rsidR="00F90563" w:rsidRDefault="00F90563" w:rsidP="00F90563">
      <w:pPr>
        <w:pStyle w:val="Heading2"/>
      </w:pPr>
      <w:bookmarkStart w:id="1246" w:name="_Toc486859703"/>
      <w:r>
        <w:t>Issues &amp; Risks</w:t>
      </w:r>
      <w:bookmarkEnd w:id="1246"/>
    </w:p>
    <w:tbl>
      <w:tblPr>
        <w:tblStyle w:val="TableElegant"/>
        <w:tblW w:w="9331" w:type="dxa"/>
        <w:tblInd w:w="262" w:type="dxa"/>
        <w:tblLook w:val="04A0" w:firstRow="1" w:lastRow="0" w:firstColumn="1" w:lastColumn="0" w:noHBand="0" w:noVBand="1"/>
      </w:tblPr>
      <w:tblGrid>
        <w:gridCol w:w="566"/>
        <w:gridCol w:w="3544"/>
        <w:gridCol w:w="4444"/>
        <w:gridCol w:w="777"/>
      </w:tblGrid>
      <w:tr w:rsidR="00730557" w:rsidRPr="00522C9D" w:rsidTr="006B6AF3">
        <w:trPr>
          <w:cnfStyle w:val="100000000000" w:firstRow="1" w:lastRow="0" w:firstColumn="0" w:lastColumn="0" w:oddVBand="0" w:evenVBand="0" w:oddHBand="0" w:evenHBand="0" w:firstRowFirstColumn="0" w:firstRowLastColumn="0" w:lastRowFirstColumn="0" w:lastRowLastColumn="0"/>
          <w:cantSplit/>
          <w:trHeight w:val="397"/>
          <w:tblHeader/>
        </w:trPr>
        <w:tc>
          <w:tcPr>
            <w:tcW w:w="566" w:type="dxa"/>
            <w:tcBorders>
              <w:top w:val="double" w:sz="6" w:space="0" w:color="000000"/>
              <w:bottom w:val="single" w:sz="6" w:space="0" w:color="000000"/>
            </w:tcBorders>
          </w:tcPr>
          <w:p w:rsidR="00730557" w:rsidRPr="00522C9D" w:rsidRDefault="00730557" w:rsidP="00F90563">
            <w:pPr>
              <w:spacing w:before="140" w:after="120"/>
              <w:jc w:val="center"/>
              <w:rPr>
                <w:rFonts w:ascii="Calibri" w:hAnsi="Calibri"/>
                <w:b/>
                <w:color w:val="000000"/>
                <w:sz w:val="16"/>
              </w:rPr>
            </w:pPr>
            <w:r>
              <w:rPr>
                <w:rFonts w:ascii="Calibri" w:hAnsi="Calibri"/>
                <w:b/>
                <w:color w:val="000000"/>
                <w:sz w:val="16"/>
              </w:rPr>
              <w:t>S.No</w:t>
            </w:r>
          </w:p>
        </w:tc>
        <w:tc>
          <w:tcPr>
            <w:tcW w:w="3544" w:type="dxa"/>
            <w:tcBorders>
              <w:top w:val="double" w:sz="6" w:space="0" w:color="000000"/>
              <w:bottom w:val="single" w:sz="6" w:space="0" w:color="000000"/>
            </w:tcBorders>
            <w:noWrap/>
            <w:hideMark/>
          </w:tcPr>
          <w:p w:rsidR="00730557" w:rsidRPr="00522C9D" w:rsidRDefault="00730557" w:rsidP="00F90563">
            <w:pPr>
              <w:spacing w:before="140" w:after="120"/>
              <w:jc w:val="center"/>
              <w:rPr>
                <w:rFonts w:ascii="Calibri" w:hAnsi="Calibri"/>
                <w:b/>
                <w:color w:val="000000"/>
                <w:sz w:val="16"/>
              </w:rPr>
            </w:pPr>
            <w:r w:rsidRPr="00522C9D">
              <w:rPr>
                <w:rFonts w:ascii="Calibri" w:hAnsi="Calibri"/>
                <w:b/>
                <w:color w:val="000000"/>
                <w:sz w:val="16"/>
              </w:rPr>
              <w:t>Issues &amp; Risks</w:t>
            </w:r>
          </w:p>
        </w:tc>
        <w:tc>
          <w:tcPr>
            <w:tcW w:w="4444" w:type="dxa"/>
            <w:tcBorders>
              <w:top w:val="double" w:sz="6" w:space="0" w:color="000000"/>
              <w:bottom w:val="single" w:sz="6" w:space="0" w:color="000000"/>
            </w:tcBorders>
          </w:tcPr>
          <w:p w:rsidR="00730557" w:rsidRPr="00522C9D" w:rsidRDefault="00730557" w:rsidP="00F90563">
            <w:pPr>
              <w:spacing w:before="140" w:after="120"/>
              <w:jc w:val="center"/>
              <w:rPr>
                <w:rFonts w:ascii="Calibri" w:hAnsi="Calibri"/>
                <w:b/>
                <w:color w:val="000000"/>
                <w:sz w:val="16"/>
              </w:rPr>
            </w:pPr>
            <w:r>
              <w:rPr>
                <w:rFonts w:ascii="Calibri" w:hAnsi="Calibri"/>
                <w:b/>
                <w:color w:val="000000"/>
                <w:sz w:val="16"/>
              </w:rPr>
              <w:t>Comments</w:t>
            </w:r>
          </w:p>
        </w:tc>
        <w:tc>
          <w:tcPr>
            <w:tcW w:w="777" w:type="dxa"/>
            <w:tcBorders>
              <w:top w:val="double" w:sz="6" w:space="0" w:color="000000"/>
              <w:bottom w:val="single" w:sz="6" w:space="0" w:color="000000"/>
            </w:tcBorders>
          </w:tcPr>
          <w:p w:rsidR="00730557" w:rsidRDefault="00730557" w:rsidP="00F90563">
            <w:pPr>
              <w:spacing w:before="140" w:after="120"/>
              <w:jc w:val="center"/>
              <w:rPr>
                <w:rFonts w:ascii="Calibri" w:hAnsi="Calibri"/>
                <w:b/>
                <w:color w:val="000000"/>
                <w:sz w:val="16"/>
              </w:rPr>
            </w:pPr>
            <w:r>
              <w:rPr>
                <w:rFonts w:ascii="Calibri" w:hAnsi="Calibri"/>
                <w:b/>
                <w:color w:val="000000"/>
                <w:sz w:val="16"/>
              </w:rPr>
              <w:t>Status</w:t>
            </w:r>
          </w:p>
        </w:tc>
      </w:tr>
      <w:tr w:rsidR="004233EF" w:rsidRPr="00522C9D" w:rsidTr="00450C53">
        <w:trPr>
          <w:trHeight w:val="397"/>
        </w:trPr>
        <w:tc>
          <w:tcPr>
            <w:tcW w:w="566" w:type="dxa"/>
            <w:tcBorders>
              <w:top w:val="single" w:sz="6" w:space="0" w:color="000000"/>
            </w:tcBorders>
            <w:shd w:val="clear" w:color="auto" w:fill="FFFFFF" w:themeFill="background1"/>
          </w:tcPr>
          <w:p w:rsidR="004233EF" w:rsidRPr="003A3D41" w:rsidRDefault="004233EF" w:rsidP="004233EF">
            <w:pPr>
              <w:rPr>
                <w:rFonts w:ascii="Arial" w:hAnsi="Arial" w:cs="Arial"/>
                <w:color w:val="000000" w:themeColor="text1"/>
                <w:sz w:val="18"/>
                <w:szCs w:val="18"/>
              </w:rPr>
            </w:pPr>
            <w:r>
              <w:rPr>
                <w:rFonts w:ascii="Arial" w:hAnsi="Arial" w:cs="Arial"/>
                <w:color w:val="000000" w:themeColor="text1"/>
                <w:sz w:val="18"/>
                <w:szCs w:val="18"/>
              </w:rPr>
              <w:t>1</w:t>
            </w:r>
          </w:p>
        </w:tc>
        <w:tc>
          <w:tcPr>
            <w:tcW w:w="3544" w:type="dxa"/>
            <w:tcBorders>
              <w:top w:val="single" w:sz="6" w:space="0" w:color="000000"/>
            </w:tcBorders>
            <w:shd w:val="clear" w:color="auto" w:fill="FFFFFF" w:themeFill="background1"/>
            <w:noWrap/>
          </w:tcPr>
          <w:p w:rsidR="004233EF" w:rsidRPr="003A3D41" w:rsidRDefault="004233EF" w:rsidP="004233EF">
            <w:pPr>
              <w:rPr>
                <w:rFonts w:ascii="Arial" w:hAnsi="Arial" w:cs="Arial"/>
                <w:color w:val="000000" w:themeColor="text1"/>
                <w:sz w:val="18"/>
                <w:szCs w:val="18"/>
              </w:rPr>
            </w:pPr>
            <w:proofErr w:type="spellStart"/>
            <w:r>
              <w:rPr>
                <w:rFonts w:ascii="Arial" w:hAnsi="Arial" w:cs="Arial"/>
                <w:color w:val="000000" w:themeColor="text1"/>
                <w:sz w:val="18"/>
                <w:szCs w:val="18"/>
              </w:rPr>
              <w:t>Covau</w:t>
            </w:r>
            <w:proofErr w:type="spellEnd"/>
            <w:r>
              <w:rPr>
                <w:rFonts w:ascii="Arial" w:hAnsi="Arial" w:cs="Arial"/>
                <w:color w:val="000000" w:themeColor="text1"/>
                <w:sz w:val="18"/>
                <w:szCs w:val="18"/>
              </w:rPr>
              <w:t xml:space="preserve"> yet to confirm their readiness to start cycle-2 test execution</w:t>
            </w:r>
          </w:p>
        </w:tc>
        <w:tc>
          <w:tcPr>
            <w:tcW w:w="4444" w:type="dxa"/>
            <w:tcBorders>
              <w:top w:val="single" w:sz="6" w:space="0" w:color="000000"/>
            </w:tcBorders>
            <w:shd w:val="clear" w:color="auto" w:fill="FFFFFF" w:themeFill="background1"/>
          </w:tcPr>
          <w:p w:rsidR="004233EF" w:rsidRDefault="004233EF" w:rsidP="004233EF">
            <w:pPr>
              <w:rPr>
                <w:rFonts w:ascii="Arial" w:hAnsi="Arial" w:cs="Arial"/>
                <w:color w:val="000000" w:themeColor="text1"/>
                <w:sz w:val="18"/>
                <w:szCs w:val="18"/>
              </w:rPr>
            </w:pPr>
            <w:r>
              <w:rPr>
                <w:rFonts w:ascii="Arial" w:hAnsi="Arial" w:cs="Arial"/>
                <w:color w:val="000000" w:themeColor="text1"/>
                <w:sz w:val="18"/>
                <w:szCs w:val="18"/>
              </w:rPr>
              <w:t xml:space="preserve">06-June : Raised this with </w:t>
            </w:r>
            <w:proofErr w:type="spellStart"/>
            <w:r>
              <w:rPr>
                <w:rFonts w:ascii="Arial" w:hAnsi="Arial" w:cs="Arial"/>
                <w:color w:val="000000" w:themeColor="text1"/>
                <w:sz w:val="18"/>
                <w:szCs w:val="18"/>
              </w:rPr>
              <w:t>Covau’s</w:t>
            </w:r>
            <w:proofErr w:type="spellEnd"/>
            <w:r>
              <w:rPr>
                <w:rFonts w:ascii="Arial" w:hAnsi="Arial" w:cs="Arial"/>
                <w:color w:val="000000" w:themeColor="text1"/>
                <w:sz w:val="18"/>
                <w:szCs w:val="18"/>
              </w:rPr>
              <w:t xml:space="preserve"> point of contact Ammar to confirm their readiness to start test execution</w:t>
            </w:r>
          </w:p>
          <w:p w:rsidR="004233EF" w:rsidRPr="003A3D41" w:rsidRDefault="004233EF" w:rsidP="004233EF">
            <w:pPr>
              <w:rPr>
                <w:rFonts w:ascii="Arial" w:hAnsi="Arial" w:cs="Arial"/>
                <w:color w:val="000000" w:themeColor="text1"/>
                <w:sz w:val="18"/>
                <w:szCs w:val="18"/>
              </w:rPr>
            </w:pPr>
            <w:r>
              <w:rPr>
                <w:rFonts w:ascii="Arial" w:hAnsi="Arial" w:cs="Arial"/>
                <w:color w:val="000000" w:themeColor="text1"/>
                <w:sz w:val="18"/>
                <w:szCs w:val="18"/>
              </w:rPr>
              <w:t xml:space="preserve">07-June : </w:t>
            </w:r>
            <w:proofErr w:type="spellStart"/>
            <w:r>
              <w:rPr>
                <w:rFonts w:ascii="Arial" w:hAnsi="Arial" w:cs="Arial"/>
                <w:color w:val="000000" w:themeColor="text1"/>
                <w:sz w:val="18"/>
                <w:szCs w:val="18"/>
              </w:rPr>
              <w:t>Covau</w:t>
            </w:r>
            <w:proofErr w:type="spellEnd"/>
            <w:r>
              <w:rPr>
                <w:rFonts w:ascii="Arial" w:hAnsi="Arial" w:cs="Arial"/>
                <w:color w:val="000000" w:themeColor="text1"/>
                <w:sz w:val="18"/>
                <w:szCs w:val="18"/>
              </w:rPr>
              <w:t xml:space="preserve"> pulled out of cycle2 test execution</w:t>
            </w:r>
          </w:p>
        </w:tc>
        <w:tc>
          <w:tcPr>
            <w:tcW w:w="777" w:type="dxa"/>
            <w:tcBorders>
              <w:top w:val="single" w:sz="6" w:space="0" w:color="000000"/>
            </w:tcBorders>
            <w:shd w:val="clear" w:color="auto" w:fill="FFFFFF" w:themeFill="background1"/>
          </w:tcPr>
          <w:p w:rsidR="004233EF" w:rsidRPr="003A3D41" w:rsidRDefault="004233EF" w:rsidP="004233EF">
            <w:pPr>
              <w:rPr>
                <w:rFonts w:ascii="Arial" w:hAnsi="Arial" w:cs="Arial"/>
                <w:color w:val="000000" w:themeColor="text1"/>
                <w:sz w:val="18"/>
                <w:szCs w:val="18"/>
              </w:rPr>
            </w:pPr>
            <w:r>
              <w:rPr>
                <w:rFonts w:ascii="Arial" w:hAnsi="Arial" w:cs="Arial"/>
                <w:color w:val="000000" w:themeColor="text1"/>
                <w:sz w:val="18"/>
                <w:szCs w:val="18"/>
              </w:rPr>
              <w:t>Closed</w:t>
            </w:r>
          </w:p>
        </w:tc>
      </w:tr>
    </w:tbl>
    <w:p w:rsidR="00714F38" w:rsidRDefault="00714F38">
      <w:pPr>
        <w:rPr>
          <w:rFonts w:asciiTheme="majorHAnsi" w:eastAsiaTheme="majorEastAsia" w:hAnsiTheme="majorHAnsi" w:cstheme="majorBidi"/>
          <w:color w:val="365F91" w:themeColor="accent1" w:themeShade="BF"/>
          <w:sz w:val="26"/>
          <w:szCs w:val="26"/>
        </w:rPr>
      </w:pPr>
    </w:p>
    <w:p w:rsidR="004E35AE" w:rsidRDefault="004E35AE">
      <w:pPr>
        <w:rPr>
          <w:rFonts w:ascii="Arial" w:hAnsi="Arial"/>
          <w:b/>
          <w:bCs/>
          <w:sz w:val="26"/>
          <w:szCs w:val="26"/>
          <w:lang w:eastAsia="en-US"/>
        </w:rPr>
      </w:pPr>
      <w:r>
        <w:br w:type="page"/>
      </w:r>
    </w:p>
    <w:p w:rsidR="00F90563" w:rsidRDefault="00F7104D" w:rsidP="00F90563">
      <w:pPr>
        <w:pStyle w:val="Heading2"/>
      </w:pPr>
      <w:bookmarkStart w:id="1247" w:name="_Toc486859704"/>
      <w:r>
        <w:lastRenderedPageBreak/>
        <w:t xml:space="preserve">Defect Summary by </w:t>
      </w:r>
      <w:r w:rsidR="001B33CC">
        <w:t xml:space="preserve">Severity </w:t>
      </w:r>
      <w:r w:rsidR="00736207">
        <w:t>versus</w:t>
      </w:r>
      <w:r w:rsidR="001B33CC">
        <w:t xml:space="preserve"> </w:t>
      </w:r>
      <w:r>
        <w:t>Status</w:t>
      </w:r>
      <w:bookmarkEnd w:id="1247"/>
      <w:r>
        <w:t xml:space="preserve"> </w:t>
      </w:r>
    </w:p>
    <w:p w:rsidR="00C65D5B" w:rsidRDefault="00736207" w:rsidP="00C65D5B">
      <w:pPr>
        <w:pStyle w:val="BodyText"/>
      </w:pPr>
      <w:r>
        <w:t xml:space="preserve">Only two defects were </w:t>
      </w:r>
      <w:proofErr w:type="spellStart"/>
      <w:r>
        <w:t>rasied</w:t>
      </w:r>
      <w:proofErr w:type="spellEnd"/>
      <w:r>
        <w:t xml:space="preserve"> over the period of testing and both are rejected.</w:t>
      </w:r>
    </w:p>
    <w:p w:rsidR="007164E9" w:rsidRDefault="00E24EFA" w:rsidP="00C65D5B">
      <w:pPr>
        <w:pStyle w:val="BodyText"/>
      </w:pPr>
      <w:r>
        <w:rPr>
          <w:noProof/>
          <w:lang w:eastAsia="en-AU"/>
        </w:rPr>
        <w:drawing>
          <wp:inline distT="0" distB="0" distL="0" distR="0" wp14:anchorId="2555BD72" wp14:editId="65518D29">
            <wp:extent cx="4781550" cy="2771775"/>
            <wp:effectExtent l="0" t="0" r="0" b="952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E35AE" w:rsidRDefault="004E35AE" w:rsidP="00C65D5B">
      <w:pPr>
        <w:pStyle w:val="BodyText"/>
      </w:pPr>
    </w:p>
    <w:tbl>
      <w:tblPr>
        <w:tblW w:w="3430" w:type="dxa"/>
        <w:tblLook w:val="04A0" w:firstRow="1" w:lastRow="0" w:firstColumn="1" w:lastColumn="0" w:noHBand="0" w:noVBand="1"/>
      </w:tblPr>
      <w:tblGrid>
        <w:gridCol w:w="1260"/>
        <w:gridCol w:w="1050"/>
        <w:gridCol w:w="1120"/>
      </w:tblGrid>
      <w:tr w:rsidR="00E24EFA" w:rsidTr="00E24EFA">
        <w:trPr>
          <w:trHeight w:val="264"/>
        </w:trPr>
        <w:tc>
          <w:tcPr>
            <w:tcW w:w="1260" w:type="dxa"/>
            <w:tcBorders>
              <w:top w:val="single" w:sz="4" w:space="0" w:color="999999"/>
              <w:left w:val="single" w:sz="4" w:space="0" w:color="999999"/>
              <w:bottom w:val="single" w:sz="4" w:space="0" w:color="999999"/>
              <w:right w:val="single" w:sz="4" w:space="0" w:color="auto"/>
            </w:tcBorders>
            <w:shd w:val="clear" w:color="auto" w:fill="auto"/>
            <w:noWrap/>
            <w:vAlign w:val="center"/>
            <w:hideMark/>
          </w:tcPr>
          <w:p w:rsidR="00E24EFA" w:rsidRPr="00CB5539" w:rsidRDefault="00E24EFA">
            <w:pPr>
              <w:rPr>
                <w:rFonts w:ascii="Arial" w:hAnsi="Arial" w:cs="Arial"/>
                <w:b/>
                <w:sz w:val="20"/>
                <w:szCs w:val="20"/>
              </w:rPr>
            </w:pPr>
            <w:r w:rsidRPr="00CB5539">
              <w:rPr>
                <w:rFonts w:ascii="Arial" w:hAnsi="Arial" w:cs="Arial"/>
                <w:b/>
                <w:sz w:val="20"/>
                <w:szCs w:val="20"/>
              </w:rPr>
              <w:t>Severity</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EFA" w:rsidRPr="00CB5539" w:rsidRDefault="00E24EFA" w:rsidP="00CB5539">
            <w:pPr>
              <w:jc w:val="right"/>
              <w:rPr>
                <w:rFonts w:ascii="Arial" w:hAnsi="Arial" w:cs="Arial"/>
                <w:b/>
                <w:sz w:val="20"/>
                <w:szCs w:val="20"/>
              </w:rPr>
            </w:pPr>
            <w:r w:rsidRPr="00CB5539">
              <w:rPr>
                <w:rFonts w:ascii="Arial" w:hAnsi="Arial" w:cs="Arial"/>
                <w:b/>
                <w:sz w:val="20"/>
                <w:szCs w:val="20"/>
              </w:rPr>
              <w:t>Rejected</w:t>
            </w:r>
          </w:p>
        </w:tc>
        <w:tc>
          <w:tcPr>
            <w:tcW w:w="1120" w:type="dxa"/>
            <w:tcBorders>
              <w:top w:val="single" w:sz="4" w:space="0" w:color="999999"/>
              <w:left w:val="single" w:sz="4" w:space="0" w:color="auto"/>
              <w:bottom w:val="single" w:sz="4" w:space="0" w:color="999999"/>
              <w:right w:val="single" w:sz="4" w:space="0" w:color="999999"/>
            </w:tcBorders>
            <w:shd w:val="clear" w:color="auto" w:fill="auto"/>
            <w:noWrap/>
            <w:vAlign w:val="center"/>
            <w:hideMark/>
          </w:tcPr>
          <w:p w:rsidR="00E24EFA" w:rsidRPr="00CB5539" w:rsidRDefault="00E24EFA" w:rsidP="00CB5539">
            <w:pPr>
              <w:jc w:val="right"/>
              <w:rPr>
                <w:rFonts w:ascii="Arial" w:hAnsi="Arial" w:cs="Arial"/>
                <w:b/>
                <w:sz w:val="20"/>
                <w:szCs w:val="20"/>
              </w:rPr>
            </w:pPr>
            <w:r w:rsidRPr="00CB5539">
              <w:rPr>
                <w:rFonts w:ascii="Arial" w:hAnsi="Arial" w:cs="Arial"/>
                <w:b/>
                <w:sz w:val="20"/>
                <w:szCs w:val="20"/>
              </w:rPr>
              <w:t>Grand Total</w:t>
            </w:r>
          </w:p>
        </w:tc>
      </w:tr>
      <w:tr w:rsidR="00E24EFA" w:rsidTr="00E24EFA">
        <w:trPr>
          <w:trHeight w:val="264"/>
        </w:trPr>
        <w:tc>
          <w:tcPr>
            <w:tcW w:w="1260" w:type="dxa"/>
            <w:tcBorders>
              <w:top w:val="single" w:sz="4" w:space="0" w:color="999999"/>
              <w:left w:val="single" w:sz="4" w:space="0" w:color="999999"/>
              <w:bottom w:val="single" w:sz="4" w:space="0" w:color="999999"/>
              <w:right w:val="single" w:sz="4" w:space="0" w:color="auto"/>
            </w:tcBorders>
            <w:shd w:val="clear" w:color="auto" w:fill="auto"/>
            <w:noWrap/>
            <w:vAlign w:val="center"/>
            <w:hideMark/>
          </w:tcPr>
          <w:p w:rsidR="00E24EFA" w:rsidRDefault="00E24EFA">
            <w:pPr>
              <w:rPr>
                <w:rFonts w:ascii="Arial" w:hAnsi="Arial" w:cs="Arial"/>
                <w:sz w:val="20"/>
                <w:szCs w:val="20"/>
              </w:rPr>
            </w:pPr>
            <w:r>
              <w:rPr>
                <w:rFonts w:ascii="Arial" w:hAnsi="Arial" w:cs="Arial"/>
                <w:sz w:val="20"/>
                <w:szCs w:val="20"/>
              </w:rPr>
              <w:t>2-Medium</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EFA" w:rsidRDefault="00E24EFA">
            <w:pPr>
              <w:jc w:val="right"/>
              <w:rPr>
                <w:rFonts w:ascii="Arial" w:hAnsi="Arial" w:cs="Arial"/>
                <w:sz w:val="20"/>
                <w:szCs w:val="20"/>
              </w:rPr>
            </w:pPr>
            <w:r>
              <w:rPr>
                <w:rFonts w:ascii="Arial" w:hAnsi="Arial" w:cs="Arial"/>
                <w:sz w:val="20"/>
                <w:szCs w:val="20"/>
              </w:rPr>
              <w:t>2</w:t>
            </w:r>
          </w:p>
        </w:tc>
        <w:tc>
          <w:tcPr>
            <w:tcW w:w="1120" w:type="dxa"/>
            <w:tcBorders>
              <w:top w:val="single" w:sz="4" w:space="0" w:color="999999"/>
              <w:left w:val="single" w:sz="4" w:space="0" w:color="auto"/>
              <w:bottom w:val="single" w:sz="4" w:space="0" w:color="999999"/>
              <w:right w:val="single" w:sz="4" w:space="0" w:color="999999"/>
            </w:tcBorders>
            <w:shd w:val="clear" w:color="auto" w:fill="auto"/>
            <w:noWrap/>
            <w:vAlign w:val="center"/>
            <w:hideMark/>
          </w:tcPr>
          <w:p w:rsidR="00E24EFA" w:rsidRDefault="00E24EFA">
            <w:pPr>
              <w:jc w:val="right"/>
              <w:rPr>
                <w:rFonts w:ascii="Arial" w:hAnsi="Arial" w:cs="Arial"/>
                <w:sz w:val="20"/>
                <w:szCs w:val="20"/>
              </w:rPr>
            </w:pPr>
            <w:r>
              <w:rPr>
                <w:rFonts w:ascii="Arial" w:hAnsi="Arial" w:cs="Arial"/>
                <w:sz w:val="20"/>
                <w:szCs w:val="20"/>
              </w:rPr>
              <w:t>2</w:t>
            </w:r>
          </w:p>
        </w:tc>
      </w:tr>
      <w:tr w:rsidR="00E24EFA" w:rsidTr="00E24EFA">
        <w:trPr>
          <w:trHeight w:val="264"/>
        </w:trPr>
        <w:tc>
          <w:tcPr>
            <w:tcW w:w="1260" w:type="dxa"/>
            <w:tcBorders>
              <w:top w:val="single" w:sz="4" w:space="0" w:color="999999"/>
              <w:left w:val="single" w:sz="4" w:space="0" w:color="999999"/>
              <w:bottom w:val="single" w:sz="4" w:space="0" w:color="999999"/>
              <w:right w:val="single" w:sz="4" w:space="0" w:color="auto"/>
            </w:tcBorders>
            <w:shd w:val="clear" w:color="auto" w:fill="auto"/>
            <w:noWrap/>
            <w:vAlign w:val="center"/>
            <w:hideMark/>
          </w:tcPr>
          <w:p w:rsidR="00E24EFA" w:rsidRDefault="00E24EFA">
            <w:pPr>
              <w:rPr>
                <w:rFonts w:ascii="Arial" w:hAnsi="Arial" w:cs="Arial"/>
                <w:sz w:val="20"/>
                <w:szCs w:val="20"/>
              </w:rPr>
            </w:pPr>
            <w:r>
              <w:rPr>
                <w:rFonts w:ascii="Arial" w:hAnsi="Arial" w:cs="Arial"/>
                <w:sz w:val="20"/>
                <w:szCs w:val="20"/>
              </w:rPr>
              <w:t>Grand Total</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4EFA" w:rsidRDefault="00E24EFA">
            <w:pPr>
              <w:jc w:val="right"/>
              <w:rPr>
                <w:rFonts w:ascii="Arial" w:hAnsi="Arial" w:cs="Arial"/>
                <w:sz w:val="20"/>
                <w:szCs w:val="20"/>
              </w:rPr>
            </w:pPr>
            <w:r>
              <w:rPr>
                <w:rFonts w:ascii="Arial" w:hAnsi="Arial" w:cs="Arial"/>
                <w:sz w:val="20"/>
                <w:szCs w:val="20"/>
              </w:rPr>
              <w:t>2</w:t>
            </w:r>
          </w:p>
        </w:tc>
        <w:tc>
          <w:tcPr>
            <w:tcW w:w="1120" w:type="dxa"/>
            <w:tcBorders>
              <w:top w:val="single" w:sz="4" w:space="0" w:color="999999"/>
              <w:left w:val="single" w:sz="4" w:space="0" w:color="auto"/>
              <w:bottom w:val="single" w:sz="4" w:space="0" w:color="999999"/>
              <w:right w:val="single" w:sz="4" w:space="0" w:color="999999"/>
            </w:tcBorders>
            <w:shd w:val="clear" w:color="auto" w:fill="auto"/>
            <w:noWrap/>
            <w:vAlign w:val="center"/>
            <w:hideMark/>
          </w:tcPr>
          <w:p w:rsidR="00E24EFA" w:rsidRDefault="00E24EFA">
            <w:pPr>
              <w:jc w:val="right"/>
              <w:rPr>
                <w:rFonts w:ascii="Arial" w:hAnsi="Arial" w:cs="Arial"/>
                <w:sz w:val="20"/>
                <w:szCs w:val="20"/>
              </w:rPr>
            </w:pPr>
            <w:r>
              <w:rPr>
                <w:rFonts w:ascii="Arial" w:hAnsi="Arial" w:cs="Arial"/>
                <w:sz w:val="20"/>
                <w:szCs w:val="20"/>
              </w:rPr>
              <w:t>2</w:t>
            </w:r>
          </w:p>
        </w:tc>
      </w:tr>
    </w:tbl>
    <w:p w:rsidR="00CB5539" w:rsidRPr="00C65D5B" w:rsidRDefault="00CB5539" w:rsidP="00C65D5B">
      <w:pPr>
        <w:pStyle w:val="BodyText"/>
      </w:pPr>
    </w:p>
    <w:p w:rsidR="00936EB0" w:rsidRDefault="00936EB0" w:rsidP="00936EB0">
      <w:pPr>
        <w:pStyle w:val="Heading2"/>
      </w:pPr>
      <w:bookmarkStart w:id="1248" w:name="_Toc486859705"/>
      <w:r>
        <w:t>Defect Summary by Participants versus Severity</w:t>
      </w:r>
      <w:bookmarkEnd w:id="1248"/>
      <w:r>
        <w:t xml:space="preserve"> </w:t>
      </w:r>
    </w:p>
    <w:p w:rsidR="00936EB0" w:rsidRDefault="00936EB0" w:rsidP="00936EB0">
      <w:pPr>
        <w:pStyle w:val="BodyText"/>
      </w:pPr>
    </w:p>
    <w:p w:rsidR="00B15437" w:rsidRDefault="00E24EFA" w:rsidP="00936EB0">
      <w:pPr>
        <w:pStyle w:val="BodyText"/>
      </w:pPr>
      <w:r>
        <w:rPr>
          <w:noProof/>
          <w:lang w:eastAsia="en-AU"/>
        </w:rPr>
        <w:drawing>
          <wp:inline distT="0" distB="0" distL="0" distR="0" wp14:anchorId="0BC9A43A" wp14:editId="51ADFA92">
            <wp:extent cx="46482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B07F8" w:rsidRDefault="007B07F8" w:rsidP="00936EB0">
      <w:pPr>
        <w:pStyle w:val="BodyText"/>
      </w:pPr>
    </w:p>
    <w:p w:rsidR="007164E9" w:rsidRDefault="007164E9" w:rsidP="00936EB0">
      <w:pPr>
        <w:pStyle w:val="BodyText"/>
      </w:pPr>
    </w:p>
    <w:p w:rsidR="007164E9" w:rsidRDefault="007164E9" w:rsidP="00936EB0">
      <w:pPr>
        <w:pStyle w:val="BodyText"/>
      </w:pPr>
    </w:p>
    <w:p w:rsidR="007164E9" w:rsidRDefault="007164E9" w:rsidP="00936EB0">
      <w:pPr>
        <w:pStyle w:val="BodyText"/>
      </w:pPr>
    </w:p>
    <w:tbl>
      <w:tblPr>
        <w:tblW w:w="4106" w:type="dxa"/>
        <w:tblLook w:val="04A0" w:firstRow="1" w:lastRow="0" w:firstColumn="1" w:lastColumn="0" w:noHBand="0" w:noVBand="1"/>
      </w:tblPr>
      <w:tblGrid>
        <w:gridCol w:w="1420"/>
        <w:gridCol w:w="1410"/>
        <w:gridCol w:w="1276"/>
      </w:tblGrid>
      <w:tr w:rsidR="007164E9" w:rsidTr="007164E9">
        <w:trPr>
          <w:trHeight w:val="264"/>
        </w:trPr>
        <w:tc>
          <w:tcPr>
            <w:tcW w:w="1420" w:type="dxa"/>
            <w:tcBorders>
              <w:top w:val="single" w:sz="4" w:space="0" w:color="999999"/>
              <w:left w:val="single" w:sz="4" w:space="0" w:color="999999"/>
              <w:bottom w:val="nil"/>
              <w:right w:val="nil"/>
            </w:tcBorders>
            <w:shd w:val="clear" w:color="auto" w:fill="auto"/>
            <w:noWrap/>
            <w:vAlign w:val="center"/>
            <w:hideMark/>
          </w:tcPr>
          <w:p w:rsidR="007164E9" w:rsidRPr="007164E9" w:rsidRDefault="007164E9">
            <w:pPr>
              <w:rPr>
                <w:rFonts w:ascii="Arial" w:hAnsi="Arial" w:cs="Arial"/>
                <w:b/>
                <w:sz w:val="20"/>
                <w:szCs w:val="20"/>
              </w:rPr>
            </w:pPr>
            <w:r w:rsidRPr="007164E9">
              <w:rPr>
                <w:rFonts w:ascii="Arial" w:hAnsi="Arial" w:cs="Arial"/>
                <w:b/>
                <w:sz w:val="20"/>
                <w:szCs w:val="20"/>
              </w:rPr>
              <w:t>Assigned To</w:t>
            </w:r>
          </w:p>
        </w:tc>
        <w:tc>
          <w:tcPr>
            <w:tcW w:w="1410" w:type="dxa"/>
            <w:tcBorders>
              <w:top w:val="single" w:sz="4" w:space="0" w:color="999999"/>
              <w:left w:val="single" w:sz="4" w:space="0" w:color="999999"/>
              <w:bottom w:val="nil"/>
              <w:right w:val="nil"/>
            </w:tcBorders>
            <w:shd w:val="clear" w:color="auto" w:fill="auto"/>
            <w:noWrap/>
            <w:vAlign w:val="center"/>
            <w:hideMark/>
          </w:tcPr>
          <w:p w:rsidR="007164E9" w:rsidRPr="007164E9" w:rsidRDefault="007164E9">
            <w:pPr>
              <w:rPr>
                <w:rFonts w:ascii="Arial" w:hAnsi="Arial" w:cs="Arial"/>
                <w:b/>
                <w:sz w:val="20"/>
                <w:szCs w:val="20"/>
              </w:rPr>
            </w:pPr>
            <w:r w:rsidRPr="007164E9">
              <w:rPr>
                <w:rFonts w:ascii="Arial" w:hAnsi="Arial" w:cs="Arial"/>
                <w:b/>
                <w:sz w:val="20"/>
                <w:szCs w:val="20"/>
              </w:rPr>
              <w:t>2-Medium</w:t>
            </w:r>
          </w:p>
        </w:tc>
        <w:tc>
          <w:tcPr>
            <w:tcW w:w="1276" w:type="dxa"/>
            <w:tcBorders>
              <w:top w:val="single" w:sz="4" w:space="0" w:color="999999"/>
              <w:left w:val="single" w:sz="4" w:space="0" w:color="999999"/>
              <w:bottom w:val="nil"/>
              <w:right w:val="single" w:sz="4" w:space="0" w:color="999999"/>
            </w:tcBorders>
            <w:shd w:val="clear" w:color="auto" w:fill="auto"/>
            <w:noWrap/>
            <w:vAlign w:val="center"/>
            <w:hideMark/>
          </w:tcPr>
          <w:p w:rsidR="007164E9" w:rsidRPr="007164E9" w:rsidRDefault="007164E9">
            <w:pPr>
              <w:rPr>
                <w:rFonts w:ascii="Arial" w:hAnsi="Arial" w:cs="Arial"/>
                <w:b/>
                <w:sz w:val="20"/>
                <w:szCs w:val="20"/>
              </w:rPr>
            </w:pPr>
            <w:r w:rsidRPr="007164E9">
              <w:rPr>
                <w:rFonts w:ascii="Arial" w:hAnsi="Arial" w:cs="Arial"/>
                <w:b/>
                <w:sz w:val="20"/>
                <w:szCs w:val="20"/>
              </w:rPr>
              <w:t>Grand Total</w:t>
            </w:r>
          </w:p>
        </w:tc>
      </w:tr>
      <w:tr w:rsidR="007164E9" w:rsidTr="007164E9">
        <w:trPr>
          <w:trHeight w:val="264"/>
        </w:trPr>
        <w:tc>
          <w:tcPr>
            <w:tcW w:w="1420" w:type="dxa"/>
            <w:tcBorders>
              <w:top w:val="single" w:sz="4" w:space="0" w:color="999999"/>
              <w:left w:val="single" w:sz="4" w:space="0" w:color="999999"/>
              <w:bottom w:val="nil"/>
              <w:right w:val="nil"/>
            </w:tcBorders>
            <w:shd w:val="clear" w:color="auto" w:fill="auto"/>
            <w:noWrap/>
            <w:vAlign w:val="center"/>
            <w:hideMark/>
          </w:tcPr>
          <w:p w:rsidR="007164E9" w:rsidRDefault="007164E9">
            <w:pPr>
              <w:rPr>
                <w:rFonts w:ascii="Arial" w:hAnsi="Arial" w:cs="Arial"/>
                <w:sz w:val="20"/>
                <w:szCs w:val="20"/>
              </w:rPr>
            </w:pPr>
            <w:r>
              <w:rPr>
                <w:rFonts w:ascii="Arial" w:hAnsi="Arial" w:cs="Arial"/>
                <w:sz w:val="20"/>
                <w:szCs w:val="20"/>
              </w:rPr>
              <w:t>aemo1</w:t>
            </w:r>
          </w:p>
        </w:tc>
        <w:tc>
          <w:tcPr>
            <w:tcW w:w="1410" w:type="dxa"/>
            <w:tcBorders>
              <w:top w:val="single" w:sz="4" w:space="0" w:color="999999"/>
              <w:left w:val="single" w:sz="4" w:space="0" w:color="999999"/>
              <w:bottom w:val="nil"/>
              <w:right w:val="nil"/>
            </w:tcBorders>
            <w:shd w:val="clear" w:color="auto" w:fill="auto"/>
            <w:noWrap/>
            <w:vAlign w:val="center"/>
            <w:hideMark/>
          </w:tcPr>
          <w:p w:rsidR="007164E9" w:rsidRDefault="00CB5539">
            <w:pPr>
              <w:jc w:val="right"/>
              <w:rPr>
                <w:rFonts w:ascii="Arial" w:hAnsi="Arial" w:cs="Arial"/>
                <w:sz w:val="20"/>
                <w:szCs w:val="20"/>
              </w:rPr>
            </w:pPr>
            <w:r>
              <w:rPr>
                <w:rFonts w:ascii="Arial" w:hAnsi="Arial" w:cs="Arial"/>
                <w:sz w:val="20"/>
                <w:szCs w:val="20"/>
              </w:rPr>
              <w:t>2</w:t>
            </w:r>
          </w:p>
        </w:tc>
        <w:tc>
          <w:tcPr>
            <w:tcW w:w="1276" w:type="dxa"/>
            <w:tcBorders>
              <w:top w:val="single" w:sz="4" w:space="0" w:color="999999"/>
              <w:left w:val="single" w:sz="4" w:space="0" w:color="999999"/>
              <w:bottom w:val="nil"/>
              <w:right w:val="single" w:sz="4" w:space="0" w:color="999999"/>
            </w:tcBorders>
            <w:shd w:val="clear" w:color="auto" w:fill="auto"/>
            <w:noWrap/>
            <w:vAlign w:val="center"/>
            <w:hideMark/>
          </w:tcPr>
          <w:p w:rsidR="007164E9" w:rsidRDefault="00CB5539">
            <w:pPr>
              <w:jc w:val="right"/>
              <w:rPr>
                <w:rFonts w:ascii="Arial" w:hAnsi="Arial" w:cs="Arial"/>
                <w:sz w:val="20"/>
                <w:szCs w:val="20"/>
              </w:rPr>
            </w:pPr>
            <w:r>
              <w:rPr>
                <w:rFonts w:ascii="Arial" w:hAnsi="Arial" w:cs="Arial"/>
                <w:sz w:val="20"/>
                <w:szCs w:val="20"/>
              </w:rPr>
              <w:t>2</w:t>
            </w:r>
          </w:p>
        </w:tc>
      </w:tr>
      <w:tr w:rsidR="007164E9" w:rsidTr="007164E9">
        <w:trPr>
          <w:trHeight w:val="264"/>
        </w:trPr>
        <w:tc>
          <w:tcPr>
            <w:tcW w:w="1420" w:type="dxa"/>
            <w:tcBorders>
              <w:top w:val="single" w:sz="4" w:space="0" w:color="999999"/>
              <w:left w:val="single" w:sz="4" w:space="0" w:color="999999"/>
              <w:bottom w:val="single" w:sz="4" w:space="0" w:color="999999"/>
              <w:right w:val="nil"/>
            </w:tcBorders>
            <w:shd w:val="clear" w:color="auto" w:fill="auto"/>
            <w:noWrap/>
            <w:vAlign w:val="center"/>
            <w:hideMark/>
          </w:tcPr>
          <w:p w:rsidR="007164E9" w:rsidRDefault="007164E9">
            <w:pPr>
              <w:rPr>
                <w:rFonts w:ascii="Arial" w:hAnsi="Arial" w:cs="Arial"/>
                <w:sz w:val="20"/>
                <w:szCs w:val="20"/>
              </w:rPr>
            </w:pPr>
            <w:r>
              <w:rPr>
                <w:rFonts w:ascii="Arial" w:hAnsi="Arial" w:cs="Arial"/>
                <w:sz w:val="20"/>
                <w:szCs w:val="20"/>
              </w:rPr>
              <w:t>Grand Total</w:t>
            </w:r>
          </w:p>
        </w:tc>
        <w:tc>
          <w:tcPr>
            <w:tcW w:w="1410" w:type="dxa"/>
            <w:tcBorders>
              <w:top w:val="single" w:sz="4" w:space="0" w:color="999999"/>
              <w:left w:val="single" w:sz="4" w:space="0" w:color="999999"/>
              <w:bottom w:val="single" w:sz="4" w:space="0" w:color="999999"/>
              <w:right w:val="nil"/>
            </w:tcBorders>
            <w:shd w:val="clear" w:color="auto" w:fill="auto"/>
            <w:noWrap/>
            <w:vAlign w:val="center"/>
            <w:hideMark/>
          </w:tcPr>
          <w:p w:rsidR="007164E9" w:rsidRDefault="00CB5539">
            <w:pPr>
              <w:jc w:val="right"/>
              <w:rPr>
                <w:rFonts w:ascii="Arial" w:hAnsi="Arial" w:cs="Arial"/>
                <w:sz w:val="20"/>
                <w:szCs w:val="20"/>
              </w:rPr>
            </w:pPr>
            <w:r>
              <w:rPr>
                <w:rFonts w:ascii="Arial" w:hAnsi="Arial" w:cs="Arial"/>
                <w:sz w:val="20"/>
                <w:szCs w:val="20"/>
              </w:rPr>
              <w:t>2</w:t>
            </w:r>
          </w:p>
        </w:tc>
        <w:tc>
          <w:tcPr>
            <w:tcW w:w="1276" w:type="dxa"/>
            <w:tcBorders>
              <w:top w:val="single" w:sz="4" w:space="0" w:color="999999"/>
              <w:left w:val="single" w:sz="4" w:space="0" w:color="999999"/>
              <w:bottom w:val="single" w:sz="4" w:space="0" w:color="999999"/>
              <w:right w:val="single" w:sz="4" w:space="0" w:color="999999"/>
            </w:tcBorders>
            <w:shd w:val="clear" w:color="auto" w:fill="auto"/>
            <w:noWrap/>
            <w:vAlign w:val="center"/>
            <w:hideMark/>
          </w:tcPr>
          <w:p w:rsidR="007164E9" w:rsidRDefault="00CB5539">
            <w:pPr>
              <w:jc w:val="right"/>
              <w:rPr>
                <w:rFonts w:ascii="Arial" w:hAnsi="Arial" w:cs="Arial"/>
                <w:sz w:val="20"/>
                <w:szCs w:val="20"/>
              </w:rPr>
            </w:pPr>
            <w:r>
              <w:rPr>
                <w:rFonts w:ascii="Arial" w:hAnsi="Arial" w:cs="Arial"/>
                <w:sz w:val="20"/>
                <w:szCs w:val="20"/>
              </w:rPr>
              <w:t>2</w:t>
            </w:r>
          </w:p>
        </w:tc>
      </w:tr>
    </w:tbl>
    <w:p w:rsidR="007164E9" w:rsidRDefault="007164E9" w:rsidP="00936EB0">
      <w:pPr>
        <w:pStyle w:val="BodyText"/>
      </w:pPr>
    </w:p>
    <w:tbl>
      <w:tblPr>
        <w:tblW w:w="10384" w:type="dxa"/>
        <w:tblInd w:w="-1" w:type="dxa"/>
        <w:tblLayout w:type="fixed"/>
        <w:tblCellMar>
          <w:left w:w="0" w:type="dxa"/>
          <w:right w:w="0" w:type="dxa"/>
        </w:tblCellMar>
        <w:tblLook w:val="04A0" w:firstRow="1" w:lastRow="0" w:firstColumn="1" w:lastColumn="0" w:noHBand="0" w:noVBand="1"/>
      </w:tblPr>
      <w:tblGrid>
        <w:gridCol w:w="984"/>
        <w:gridCol w:w="2912"/>
        <w:gridCol w:w="1481"/>
        <w:gridCol w:w="1275"/>
        <w:gridCol w:w="1277"/>
        <w:gridCol w:w="1134"/>
        <w:gridCol w:w="1291"/>
        <w:gridCol w:w="30"/>
      </w:tblGrid>
      <w:tr w:rsidR="00D91928" w:rsidTr="00D91928">
        <w:trPr>
          <w:trHeight w:val="264"/>
        </w:trPr>
        <w:tc>
          <w:tcPr>
            <w:tcW w:w="984" w:type="dxa"/>
            <w:tcBorders>
              <w:top w:val="single" w:sz="8" w:space="0" w:color="808080"/>
              <w:left w:val="single" w:sz="8" w:space="0" w:color="808080"/>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Defect ID</w:t>
            </w:r>
          </w:p>
        </w:tc>
        <w:tc>
          <w:tcPr>
            <w:tcW w:w="2912"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Summary</w:t>
            </w:r>
          </w:p>
        </w:tc>
        <w:tc>
          <w:tcPr>
            <w:tcW w:w="1481"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Detected By</w:t>
            </w:r>
          </w:p>
        </w:tc>
        <w:tc>
          <w:tcPr>
            <w:tcW w:w="1275"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Assigned To</w:t>
            </w:r>
          </w:p>
        </w:tc>
        <w:tc>
          <w:tcPr>
            <w:tcW w:w="1277"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Detected on Date</w:t>
            </w:r>
          </w:p>
        </w:tc>
        <w:tc>
          <w:tcPr>
            <w:tcW w:w="1134"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Severity</w:t>
            </w:r>
          </w:p>
        </w:tc>
        <w:tc>
          <w:tcPr>
            <w:tcW w:w="1291" w:type="dxa"/>
            <w:tcBorders>
              <w:top w:val="single" w:sz="8" w:space="0" w:color="808080"/>
              <w:left w:val="nil"/>
              <w:bottom w:val="single" w:sz="8" w:space="0" w:color="808080"/>
              <w:right w:val="single" w:sz="8" w:space="0" w:color="808080"/>
            </w:tcBorders>
            <w:shd w:val="clear" w:color="auto" w:fill="D3D3D3"/>
            <w:noWrap/>
            <w:tcMar>
              <w:top w:w="0" w:type="dxa"/>
              <w:left w:w="108" w:type="dxa"/>
              <w:bottom w:w="0" w:type="dxa"/>
              <w:right w:w="108" w:type="dxa"/>
            </w:tcMar>
            <w:vAlign w:val="bottom"/>
            <w:hideMark/>
          </w:tcPr>
          <w:p w:rsidR="00D91928" w:rsidRPr="00D91928" w:rsidRDefault="00D91928">
            <w:pPr>
              <w:rPr>
                <w:rFonts w:ascii="Arial" w:hAnsi="Arial" w:cs="Arial"/>
                <w:b/>
                <w:sz w:val="20"/>
                <w:szCs w:val="20"/>
              </w:rPr>
            </w:pPr>
            <w:r w:rsidRPr="00D91928">
              <w:rPr>
                <w:rFonts w:ascii="Arial" w:hAnsi="Arial" w:cs="Arial"/>
                <w:b/>
                <w:sz w:val="20"/>
                <w:szCs w:val="20"/>
              </w:rPr>
              <w:t>Status</w:t>
            </w:r>
          </w:p>
        </w:tc>
        <w:tc>
          <w:tcPr>
            <w:tcW w:w="30" w:type="dxa"/>
            <w:vAlign w:val="center"/>
            <w:hideMark/>
          </w:tcPr>
          <w:p w:rsidR="00D91928" w:rsidRDefault="00D91928">
            <w:r>
              <w:t> </w:t>
            </w:r>
          </w:p>
        </w:tc>
      </w:tr>
      <w:tr w:rsidR="00D91928" w:rsidTr="00D91928">
        <w:trPr>
          <w:gridAfter w:val="1"/>
          <w:wAfter w:w="30" w:type="dxa"/>
          <w:trHeight w:val="528"/>
        </w:trPr>
        <w:tc>
          <w:tcPr>
            <w:tcW w:w="984"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jc w:val="right"/>
              <w:rPr>
                <w:rFonts w:ascii="Arial" w:hAnsi="Arial" w:cs="Arial"/>
                <w:sz w:val="20"/>
                <w:szCs w:val="20"/>
              </w:rPr>
            </w:pPr>
            <w:r w:rsidRPr="00D91928">
              <w:rPr>
                <w:rFonts w:ascii="Arial" w:hAnsi="Arial" w:cs="Arial"/>
                <w:sz w:val="20"/>
                <w:szCs w:val="20"/>
              </w:rPr>
              <w:t>1</w:t>
            </w:r>
          </w:p>
        </w:tc>
        <w:tc>
          <w:tcPr>
            <w:tcW w:w="2912"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CATS Notification received before Change Response.</w:t>
            </w:r>
          </w:p>
        </w:tc>
        <w:tc>
          <w:tcPr>
            <w:tcW w:w="1481"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agl1</w:t>
            </w:r>
          </w:p>
        </w:tc>
        <w:tc>
          <w:tcPr>
            <w:tcW w:w="1275"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aemo1</w:t>
            </w:r>
          </w:p>
        </w:tc>
        <w:tc>
          <w:tcPr>
            <w:tcW w:w="1277"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jc w:val="right"/>
              <w:rPr>
                <w:rFonts w:ascii="Arial" w:hAnsi="Arial" w:cs="Arial"/>
                <w:sz w:val="20"/>
                <w:szCs w:val="20"/>
              </w:rPr>
            </w:pPr>
            <w:r w:rsidRPr="00D91928">
              <w:rPr>
                <w:rFonts w:ascii="Arial" w:hAnsi="Arial" w:cs="Arial"/>
                <w:sz w:val="20"/>
                <w:szCs w:val="20"/>
              </w:rPr>
              <w:t>06/06/2017</w:t>
            </w:r>
          </w:p>
        </w:tc>
        <w:tc>
          <w:tcPr>
            <w:tcW w:w="1134"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2-Medium</w:t>
            </w:r>
          </w:p>
        </w:tc>
        <w:tc>
          <w:tcPr>
            <w:tcW w:w="1291"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Rejected</w:t>
            </w:r>
          </w:p>
        </w:tc>
      </w:tr>
      <w:tr w:rsidR="00D91928" w:rsidTr="00D91928">
        <w:trPr>
          <w:gridAfter w:val="1"/>
          <w:wAfter w:w="30" w:type="dxa"/>
          <w:trHeight w:val="528"/>
        </w:trPr>
        <w:tc>
          <w:tcPr>
            <w:tcW w:w="984"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jc w:val="right"/>
              <w:rPr>
                <w:rFonts w:ascii="Arial" w:hAnsi="Arial" w:cs="Arial"/>
                <w:sz w:val="20"/>
                <w:szCs w:val="20"/>
              </w:rPr>
            </w:pPr>
            <w:r w:rsidRPr="00D91928">
              <w:rPr>
                <w:rFonts w:ascii="Arial" w:hAnsi="Arial" w:cs="Arial"/>
                <w:sz w:val="20"/>
                <w:szCs w:val="20"/>
              </w:rPr>
              <w:t>2</w:t>
            </w:r>
          </w:p>
        </w:tc>
        <w:tc>
          <w:tcPr>
            <w:tcW w:w="2912"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INDT-FUN-08 - Unable to object to CR1000 as RP using CONTRACT Objection code</w:t>
            </w:r>
          </w:p>
        </w:tc>
        <w:tc>
          <w:tcPr>
            <w:tcW w:w="1481"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citipower1</w:t>
            </w:r>
          </w:p>
        </w:tc>
        <w:tc>
          <w:tcPr>
            <w:tcW w:w="1275"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aemo1</w:t>
            </w:r>
          </w:p>
        </w:tc>
        <w:tc>
          <w:tcPr>
            <w:tcW w:w="1277"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jc w:val="right"/>
              <w:rPr>
                <w:rFonts w:ascii="Arial" w:hAnsi="Arial" w:cs="Arial"/>
                <w:sz w:val="20"/>
                <w:szCs w:val="20"/>
              </w:rPr>
            </w:pPr>
            <w:r w:rsidRPr="00D91928">
              <w:rPr>
                <w:rFonts w:ascii="Arial" w:hAnsi="Arial" w:cs="Arial"/>
                <w:sz w:val="20"/>
                <w:szCs w:val="20"/>
              </w:rPr>
              <w:t>15/06/2017</w:t>
            </w:r>
          </w:p>
        </w:tc>
        <w:tc>
          <w:tcPr>
            <w:tcW w:w="1134"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2-Medium</w:t>
            </w:r>
          </w:p>
        </w:tc>
        <w:tc>
          <w:tcPr>
            <w:tcW w:w="1291" w:type="dxa"/>
            <w:tcBorders>
              <w:top w:val="nil"/>
              <w:left w:val="nil"/>
              <w:bottom w:val="single" w:sz="8" w:space="0" w:color="808080"/>
              <w:right w:val="single" w:sz="8" w:space="0" w:color="808080"/>
            </w:tcBorders>
            <w:tcMar>
              <w:top w:w="0" w:type="dxa"/>
              <w:left w:w="108" w:type="dxa"/>
              <w:bottom w:w="0" w:type="dxa"/>
              <w:right w:w="108" w:type="dxa"/>
            </w:tcMar>
            <w:vAlign w:val="bottom"/>
            <w:hideMark/>
          </w:tcPr>
          <w:p w:rsidR="00D91928" w:rsidRPr="00D91928" w:rsidRDefault="00D91928">
            <w:pPr>
              <w:rPr>
                <w:rFonts w:ascii="Arial" w:hAnsi="Arial" w:cs="Arial"/>
                <w:sz w:val="20"/>
                <w:szCs w:val="20"/>
              </w:rPr>
            </w:pPr>
            <w:r w:rsidRPr="00D91928">
              <w:rPr>
                <w:rFonts w:ascii="Arial" w:hAnsi="Arial" w:cs="Arial"/>
                <w:sz w:val="20"/>
                <w:szCs w:val="20"/>
              </w:rPr>
              <w:t>Rejected</w:t>
            </w:r>
          </w:p>
        </w:tc>
      </w:tr>
    </w:tbl>
    <w:p w:rsidR="0078502C" w:rsidRDefault="0078502C" w:rsidP="00936EB0">
      <w:pPr>
        <w:pStyle w:val="BodyText"/>
      </w:pPr>
    </w:p>
    <w:p w:rsidR="004C42E6" w:rsidRPr="00936EB0" w:rsidRDefault="004C42E6" w:rsidP="00936EB0">
      <w:pPr>
        <w:pStyle w:val="BodyText"/>
      </w:pPr>
    </w:p>
    <w:p w:rsidR="0093749B" w:rsidRDefault="004C42E6">
      <w:pPr>
        <w:rPr>
          <w:rFonts w:ascii="Arial" w:hAnsi="Arial"/>
          <w:b/>
          <w:sz w:val="22"/>
          <w:szCs w:val="20"/>
          <w:lang w:eastAsia="en-US"/>
        </w:rPr>
      </w:pPr>
      <w:r>
        <w:rPr>
          <w:b/>
        </w:rPr>
        <w:t xml:space="preserve"> </w:t>
      </w:r>
      <w:r w:rsidR="0093749B">
        <w:rPr>
          <w:b/>
        </w:rPr>
        <w:br w:type="page"/>
      </w:r>
    </w:p>
    <w:p w:rsidR="00F85CCB" w:rsidRPr="004F0712" w:rsidRDefault="00F85CCB">
      <w:pPr>
        <w:pStyle w:val="BodyText"/>
        <w:rPr>
          <w:b/>
        </w:rPr>
      </w:pPr>
      <w:r w:rsidRPr="004F0712">
        <w:rPr>
          <w:b/>
        </w:rPr>
        <w:lastRenderedPageBreak/>
        <w:t>Appendix</w:t>
      </w:r>
      <w:r w:rsidR="00CF58A4">
        <w:rPr>
          <w:b/>
        </w:rPr>
        <w:t xml:space="preserve"> A</w:t>
      </w:r>
    </w:p>
    <w:p w:rsidR="004F0712" w:rsidRDefault="00CF58A4">
      <w:pPr>
        <w:pStyle w:val="BodyText"/>
      </w:pPr>
      <w:r>
        <w:t>Defect status</w:t>
      </w:r>
    </w:p>
    <w:tbl>
      <w:tblPr>
        <w:tblStyle w:val="TableElegant"/>
        <w:tblW w:w="9783" w:type="dxa"/>
        <w:tblInd w:w="-131" w:type="dxa"/>
        <w:tblLook w:val="04A0" w:firstRow="1" w:lastRow="0" w:firstColumn="1" w:lastColumn="0" w:noHBand="0" w:noVBand="1"/>
      </w:tblPr>
      <w:tblGrid>
        <w:gridCol w:w="1472"/>
        <w:gridCol w:w="8311"/>
      </w:tblGrid>
      <w:tr w:rsidR="004F0712" w:rsidRPr="00522C9D" w:rsidTr="004F0712">
        <w:trPr>
          <w:cnfStyle w:val="100000000000" w:firstRow="1" w:lastRow="0" w:firstColumn="0" w:lastColumn="0" w:oddVBand="0" w:evenVBand="0" w:oddHBand="0" w:evenHBand="0" w:firstRowFirstColumn="0" w:firstRowLastColumn="0" w:lastRowFirstColumn="0" w:lastRowLastColumn="0"/>
          <w:trHeight w:val="387"/>
        </w:trPr>
        <w:tc>
          <w:tcPr>
            <w:tcW w:w="1472" w:type="dxa"/>
            <w:tcBorders>
              <w:top w:val="single" w:sz="6" w:space="0" w:color="000000"/>
            </w:tcBorders>
            <w:noWrap/>
            <w:hideMark/>
          </w:tcPr>
          <w:p w:rsidR="004F0712" w:rsidRPr="00DE5BFE" w:rsidRDefault="004F0712" w:rsidP="004F0712">
            <w:pPr>
              <w:rPr>
                <w:b/>
                <w:bCs/>
              </w:rPr>
            </w:pPr>
            <w:r>
              <w:rPr>
                <w:b/>
                <w:bCs/>
              </w:rPr>
              <w:t>Status</w:t>
            </w:r>
          </w:p>
        </w:tc>
        <w:tc>
          <w:tcPr>
            <w:tcW w:w="8311" w:type="dxa"/>
            <w:tcBorders>
              <w:top w:val="single" w:sz="6" w:space="0" w:color="000000"/>
            </w:tcBorders>
            <w:noWrap/>
            <w:hideMark/>
          </w:tcPr>
          <w:p w:rsidR="004F0712" w:rsidRPr="00320BA1" w:rsidRDefault="004F0712" w:rsidP="004F0712">
            <w:pPr>
              <w:rPr>
                <w:b/>
                <w:bCs/>
              </w:rPr>
            </w:pPr>
            <w:r w:rsidRPr="00320BA1">
              <w:rPr>
                <w:b/>
                <w:bCs/>
              </w:rPr>
              <w:t>Description</w:t>
            </w:r>
          </w:p>
        </w:tc>
      </w:tr>
      <w:tr w:rsidR="004F0712" w:rsidRPr="00522C9D" w:rsidTr="004F0712">
        <w:trPr>
          <w:trHeight w:val="387"/>
        </w:trPr>
        <w:tc>
          <w:tcPr>
            <w:tcW w:w="1472" w:type="dxa"/>
            <w:noWrap/>
            <w:hideMark/>
          </w:tcPr>
          <w:p w:rsidR="004F0712" w:rsidRPr="00320BA1" w:rsidRDefault="004F0712" w:rsidP="004F0712">
            <w:r w:rsidRPr="00DE5BFE">
              <w:rPr>
                <w:b/>
                <w:bCs/>
              </w:rPr>
              <w:t>Open</w:t>
            </w:r>
          </w:p>
        </w:tc>
        <w:tc>
          <w:tcPr>
            <w:tcW w:w="8311" w:type="dxa"/>
            <w:noWrap/>
            <w:hideMark/>
          </w:tcPr>
          <w:p w:rsidR="004F0712" w:rsidRPr="00320BA1" w:rsidRDefault="004F0712" w:rsidP="004F0712">
            <w:r w:rsidRPr="00320BA1">
              <w:rPr>
                <w:bCs/>
              </w:rPr>
              <w:t>QC item that is considered valid to be set to ‘Open’ for further analysis.</w:t>
            </w:r>
          </w:p>
          <w:p w:rsidR="004F0712" w:rsidRPr="00320BA1" w:rsidRDefault="004F0712" w:rsidP="004F0712">
            <w:r>
              <w:rPr>
                <w:bCs/>
              </w:rPr>
              <w:t>Open</w:t>
            </w:r>
            <w:r w:rsidRPr="00320BA1">
              <w:rPr>
                <w:bCs/>
              </w:rPr>
              <w:t xml:space="preserve"> status means, development team is working on the QC item (analysis or fixing)</w:t>
            </w:r>
          </w:p>
        </w:tc>
      </w:tr>
      <w:tr w:rsidR="004F0712" w:rsidRPr="00522C9D" w:rsidTr="004F0712">
        <w:trPr>
          <w:trHeight w:val="387"/>
        </w:trPr>
        <w:tc>
          <w:tcPr>
            <w:tcW w:w="1472" w:type="dxa"/>
            <w:noWrap/>
            <w:hideMark/>
          </w:tcPr>
          <w:p w:rsidR="004F0712" w:rsidRDefault="004F0712" w:rsidP="004F0712">
            <w:r w:rsidRPr="00DE5BFE">
              <w:rPr>
                <w:b/>
                <w:bCs/>
              </w:rPr>
              <w:t>Rejected</w:t>
            </w:r>
          </w:p>
          <w:p w:rsidR="004F0712" w:rsidRPr="00DE5BFE" w:rsidRDefault="004F0712" w:rsidP="004F0712">
            <w:pPr>
              <w:rPr>
                <w:b/>
                <w:bCs/>
              </w:rPr>
            </w:pPr>
          </w:p>
        </w:tc>
        <w:tc>
          <w:tcPr>
            <w:tcW w:w="8311" w:type="dxa"/>
            <w:noWrap/>
            <w:hideMark/>
          </w:tcPr>
          <w:p w:rsidR="004F0712" w:rsidRPr="00320BA1" w:rsidRDefault="004F0712" w:rsidP="004F0712">
            <w:r w:rsidRPr="00320BA1">
              <w:rPr>
                <w:bCs/>
              </w:rPr>
              <w:t>QC item that is considered invalid is set to ‘Rejected’.</w:t>
            </w:r>
          </w:p>
          <w:p w:rsidR="004F0712" w:rsidRPr="00320BA1" w:rsidRDefault="004F0712" w:rsidP="004F0712">
            <w:pPr>
              <w:rPr>
                <w:bCs/>
              </w:rPr>
            </w:pPr>
            <w:r w:rsidRPr="00320BA1">
              <w:rPr>
                <w:bCs/>
              </w:rPr>
              <w:t xml:space="preserve">AEMO will set QC item to ‘Rejected’ with </w:t>
            </w:r>
            <w:r>
              <w:rPr>
                <w:bCs/>
              </w:rPr>
              <w:t>ITWG consultation during daily meetings.</w:t>
            </w:r>
          </w:p>
          <w:p w:rsidR="004F0712" w:rsidRPr="00320BA1" w:rsidRDefault="004F0712" w:rsidP="004F0712">
            <w:pPr>
              <w:rPr>
                <w:bCs/>
              </w:rPr>
            </w:pPr>
            <w:r w:rsidRPr="00320BA1">
              <w:rPr>
                <w:bCs/>
              </w:rPr>
              <w:t>If a QC item status is accidentally set to ‘Rejected’ QC administrator will assist to rectify.</w:t>
            </w:r>
          </w:p>
        </w:tc>
      </w:tr>
      <w:tr w:rsidR="004F0712" w:rsidRPr="00522C9D" w:rsidTr="004F0712">
        <w:trPr>
          <w:trHeight w:val="387"/>
        </w:trPr>
        <w:tc>
          <w:tcPr>
            <w:tcW w:w="1472" w:type="dxa"/>
            <w:noWrap/>
            <w:hideMark/>
          </w:tcPr>
          <w:p w:rsidR="004F0712" w:rsidRPr="00DE5BFE" w:rsidRDefault="004F0712" w:rsidP="004F0712">
            <w:r w:rsidRPr="00DE5BFE">
              <w:rPr>
                <w:b/>
                <w:bCs/>
              </w:rPr>
              <w:t>Fixed</w:t>
            </w:r>
          </w:p>
        </w:tc>
        <w:tc>
          <w:tcPr>
            <w:tcW w:w="8311" w:type="dxa"/>
            <w:noWrap/>
            <w:hideMark/>
          </w:tcPr>
          <w:p w:rsidR="004F0712" w:rsidRPr="00320BA1" w:rsidRDefault="004F0712" w:rsidP="004F0712">
            <w:r w:rsidRPr="00320BA1">
              <w:rPr>
                <w:bCs/>
              </w:rPr>
              <w:t>Once QC item has been fixed and unit tested by developer the status is set to ‘Fixed’.</w:t>
            </w:r>
          </w:p>
          <w:p w:rsidR="004F0712" w:rsidRPr="00320BA1" w:rsidRDefault="004F0712" w:rsidP="004F0712">
            <w:r w:rsidRPr="00320BA1">
              <w:rPr>
                <w:bCs/>
              </w:rPr>
              <w:t>This indicated release manager can release the fix to testing environment.</w:t>
            </w:r>
          </w:p>
        </w:tc>
      </w:tr>
      <w:tr w:rsidR="004F0712" w:rsidRPr="00522C9D" w:rsidTr="004F0712">
        <w:trPr>
          <w:trHeight w:val="387"/>
        </w:trPr>
        <w:tc>
          <w:tcPr>
            <w:tcW w:w="1472" w:type="dxa"/>
            <w:noWrap/>
            <w:hideMark/>
          </w:tcPr>
          <w:p w:rsidR="004F0712" w:rsidRPr="00DE5BFE" w:rsidRDefault="004F0712" w:rsidP="004F0712">
            <w:r w:rsidRPr="00DE5BFE">
              <w:rPr>
                <w:b/>
                <w:bCs/>
              </w:rPr>
              <w:t>Test Ready</w:t>
            </w:r>
          </w:p>
        </w:tc>
        <w:tc>
          <w:tcPr>
            <w:tcW w:w="8311" w:type="dxa"/>
            <w:noWrap/>
            <w:hideMark/>
          </w:tcPr>
          <w:p w:rsidR="004F0712" w:rsidRPr="00320BA1" w:rsidRDefault="004F0712" w:rsidP="004F0712">
            <w:r w:rsidRPr="00320BA1">
              <w:rPr>
                <w:bCs/>
              </w:rPr>
              <w:t>Once Release manager released the fix to test environment successfully the status is set to ‘Test Ready’</w:t>
            </w:r>
          </w:p>
        </w:tc>
      </w:tr>
      <w:tr w:rsidR="004F0712" w:rsidRPr="00522C9D" w:rsidTr="004F0712">
        <w:trPr>
          <w:trHeight w:val="387"/>
        </w:trPr>
        <w:tc>
          <w:tcPr>
            <w:tcW w:w="1472" w:type="dxa"/>
            <w:noWrap/>
            <w:hideMark/>
          </w:tcPr>
          <w:p w:rsidR="004F0712" w:rsidRPr="00DE5BFE" w:rsidRDefault="004F0712" w:rsidP="004F0712">
            <w:r w:rsidRPr="00DE5BFE">
              <w:rPr>
                <w:b/>
                <w:bCs/>
              </w:rPr>
              <w:t>Tested</w:t>
            </w:r>
          </w:p>
        </w:tc>
        <w:tc>
          <w:tcPr>
            <w:tcW w:w="8311" w:type="dxa"/>
            <w:noWrap/>
            <w:hideMark/>
          </w:tcPr>
          <w:p w:rsidR="004F0712" w:rsidRPr="00320BA1" w:rsidRDefault="004F0712" w:rsidP="004F0712">
            <w:r w:rsidRPr="00320BA1">
              <w:rPr>
                <w:bCs/>
              </w:rPr>
              <w:t>Tester(defect originator) will only test QC item with the status ‘Test Ready’ and set status to ‘Tested’ upon passing the QC item</w:t>
            </w:r>
            <w:r>
              <w:rPr>
                <w:bCs/>
              </w:rPr>
              <w:t>.</w:t>
            </w:r>
          </w:p>
        </w:tc>
      </w:tr>
      <w:tr w:rsidR="004F0712" w:rsidRPr="00522C9D" w:rsidTr="004F0712">
        <w:trPr>
          <w:trHeight w:val="387"/>
        </w:trPr>
        <w:tc>
          <w:tcPr>
            <w:tcW w:w="1472" w:type="dxa"/>
            <w:noWrap/>
            <w:hideMark/>
          </w:tcPr>
          <w:p w:rsidR="004F0712" w:rsidRPr="00DE5BFE" w:rsidRDefault="004F0712" w:rsidP="004F0712">
            <w:r w:rsidRPr="00DE5BFE">
              <w:rPr>
                <w:b/>
                <w:bCs/>
              </w:rPr>
              <w:t>Closed</w:t>
            </w:r>
          </w:p>
        </w:tc>
        <w:tc>
          <w:tcPr>
            <w:tcW w:w="8311" w:type="dxa"/>
            <w:noWrap/>
            <w:hideMark/>
          </w:tcPr>
          <w:p w:rsidR="004F0712" w:rsidRPr="00320BA1" w:rsidRDefault="004F0712" w:rsidP="004F0712">
            <w:pPr>
              <w:keepNext/>
            </w:pPr>
            <w:r w:rsidRPr="00320BA1">
              <w:rPr>
                <w:bCs/>
              </w:rPr>
              <w:t>Test manager is responsible to set QC item status to ‘Closed’ once it has been released to production successfully.</w:t>
            </w:r>
          </w:p>
        </w:tc>
      </w:tr>
    </w:tbl>
    <w:p w:rsidR="00CF58A4" w:rsidRDefault="00CF58A4" w:rsidP="00C3128A">
      <w:pPr>
        <w:pStyle w:val="Caption"/>
      </w:pPr>
    </w:p>
    <w:p w:rsidR="00CF58A4" w:rsidRDefault="00CF58A4">
      <w:pPr>
        <w:rPr>
          <w:rFonts w:ascii="Arial" w:hAnsi="Arial"/>
          <w:bCs/>
          <w:i/>
          <w:sz w:val="20"/>
          <w:szCs w:val="18"/>
          <w:lang w:eastAsia="en-US"/>
        </w:rPr>
      </w:pPr>
      <w:r>
        <w:br w:type="page"/>
      </w:r>
    </w:p>
    <w:p w:rsidR="00CF58A4" w:rsidRPr="004F0712" w:rsidRDefault="00CF58A4" w:rsidP="00CF58A4">
      <w:pPr>
        <w:pStyle w:val="BodyText"/>
        <w:rPr>
          <w:b/>
        </w:rPr>
      </w:pPr>
      <w:r w:rsidRPr="004F0712">
        <w:rPr>
          <w:b/>
        </w:rPr>
        <w:lastRenderedPageBreak/>
        <w:t>Appendix</w:t>
      </w:r>
      <w:r>
        <w:rPr>
          <w:b/>
        </w:rPr>
        <w:t xml:space="preserve"> B</w:t>
      </w:r>
    </w:p>
    <w:p w:rsidR="004F0712" w:rsidRPr="00CF58A4" w:rsidRDefault="00CF58A4" w:rsidP="00C3128A">
      <w:pPr>
        <w:pStyle w:val="Caption"/>
        <w:rPr>
          <w:i w:val="0"/>
        </w:rPr>
      </w:pPr>
      <w:r>
        <w:rPr>
          <w:i w:val="0"/>
        </w:rPr>
        <w:t>Test Results</w:t>
      </w:r>
    </w:p>
    <w:tbl>
      <w:tblPr>
        <w:tblW w:w="8554" w:type="dxa"/>
        <w:tblLook w:val="04A0" w:firstRow="1" w:lastRow="0" w:firstColumn="1" w:lastColumn="0" w:noHBand="0" w:noVBand="1"/>
      </w:tblPr>
      <w:tblGrid>
        <w:gridCol w:w="3280"/>
        <w:gridCol w:w="1920"/>
        <w:gridCol w:w="2340"/>
        <w:gridCol w:w="1200"/>
      </w:tblGrid>
      <w:tr w:rsidR="00CF58A4" w:rsidTr="00CF58A4">
        <w:trPr>
          <w:trHeight w:val="300"/>
        </w:trPr>
        <w:tc>
          <w:tcPr>
            <w:tcW w:w="3280" w:type="dxa"/>
            <w:tcBorders>
              <w:top w:val="single" w:sz="4" w:space="0" w:color="auto"/>
              <w:left w:val="single" w:sz="4" w:space="0" w:color="auto"/>
              <w:bottom w:val="single" w:sz="4" w:space="0" w:color="auto"/>
              <w:right w:val="single" w:sz="4" w:space="0" w:color="auto"/>
            </w:tcBorders>
            <w:shd w:val="clear" w:color="auto" w:fill="E5B8B7" w:themeFill="accent2" w:themeFillTint="66"/>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COMPANY</w:t>
            </w:r>
          </w:p>
        </w:tc>
        <w:tc>
          <w:tcPr>
            <w:tcW w:w="192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PARTICIPANT</w:t>
            </w:r>
          </w:p>
        </w:tc>
        <w:tc>
          <w:tcPr>
            <w:tcW w:w="2340"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Test Scenario</w:t>
            </w:r>
          </w:p>
        </w:tc>
        <w:tc>
          <w:tcPr>
            <w:tcW w:w="1014" w:type="dxa"/>
            <w:tcBorders>
              <w:top w:val="single" w:sz="4" w:space="0" w:color="auto"/>
              <w:left w:val="nil"/>
              <w:bottom w:val="single" w:sz="4" w:space="0" w:color="auto"/>
              <w:right w:val="single" w:sz="4" w:space="0" w:color="auto"/>
            </w:tcBorders>
            <w:shd w:val="clear" w:color="auto" w:fill="E5B8B7" w:themeFill="accent2" w:themeFillTint="66"/>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Scenario Status</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AES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INDT-FUN-15-AES</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AES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INDT-FUN-23-AES</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AES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INDT-FUN-26-AES</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INDT-FUN-01-AGLE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INDT-FUN-15-AGLE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INDT-FUN-21-AGLE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INDT-FUN-22-AGLE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INDT-FUN-23-AGLE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INDT-FUN-26-AGLE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INDT-FUN-27-AGLE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INDT-FUN-30-AGLE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INDT-FUN-01-Pulse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INDT-FUN-08-Pulse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INDT-FUN-15-Pulse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INDT-FUN-21-Pulse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INDT-FUN-22-Pulse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INDT-FUN-23-Pulse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INDT-FUN-26-Pulse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Pulse</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INDT-FUN-27-Pulse</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INDT-FUN-01-Sol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INDT-FUN-15-Sol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INDT-FUN-21-Sol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INDT-FUN-22-Sol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INDT-FUN-23-Sol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INDT-FUN-26-Sol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INDT-FUN-27-Sol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AGL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Solaris</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INDT-FUN-30-Sol</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INDT-FUN-18-ENX</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INDT-FUN-19-ENX</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INDT_PRE-05-ENX</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ENERGEX</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INDT_PRE-06-ENX</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INDT-FUN-18-EGON</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INDT-FUN-19-EGON</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INDT_PRE-05-EGON</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ERGON</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INDT_PRE-06-EGON</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INDT-FUN-02-CP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INDT-FUN-03-CP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lastRenderedPageBreak/>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INDT-FUN-19-CP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INDT-FUN-24-CP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INDT-PRE-05-CP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736207">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INDT-FUN-05-CP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736207">
            <w:pPr>
              <w:rPr>
                <w:rFonts w:ascii="Calibri" w:hAnsi="Calibri" w:cs="Calibri"/>
                <w:color w:val="000000"/>
                <w:sz w:val="22"/>
                <w:szCs w:val="22"/>
              </w:rPr>
            </w:pPr>
            <w:r>
              <w:rPr>
                <w:rFonts w:ascii="Calibri" w:hAnsi="Calibri" w:cs="Calibri"/>
                <w:color w:val="000000"/>
                <w:sz w:val="22"/>
                <w:szCs w:val="22"/>
              </w:rPr>
              <w:t>CitiPower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INDT-FUN-28-CP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INDT-FUN-02-PC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INDT-FUN-03-PC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INDT-FUN-19-PC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INDT-FUN-24-PC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INDT-PRE-05-PC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INDT-FUN-05-PC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Powercor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INDT-FUN-28-PC</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INDT-FUN-02-SAP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INDT-FUN-19-SAP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INDT-FUN-24-SAP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INDT-FUN-28-SAP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INDT-PRE-05-SAP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INDT-FUN-05-SAP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SAPOWER</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INDT-FUN-28-SAP</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INDT-FUN-01-SW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INDT-FUN-15-SW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INDT-FUN-17-SW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INDT-FUN-18-SW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INDT-FUN-21-SW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INDT-FUN-22-SW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INDT-FUN-23-SW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INDT-FUN-26-SW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INDT-FUN-27-SW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INDT-FUN-16-SW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r w:rsidR="00CF58A4" w:rsidTr="00CF58A4">
        <w:trPr>
          <w:trHeight w:val="300"/>
        </w:trPr>
        <w:tc>
          <w:tcPr>
            <w:tcW w:w="3280" w:type="dxa"/>
            <w:tcBorders>
              <w:top w:val="nil"/>
              <w:left w:val="single" w:sz="4" w:space="0" w:color="auto"/>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192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STANWELL</w:t>
            </w:r>
          </w:p>
        </w:tc>
        <w:tc>
          <w:tcPr>
            <w:tcW w:w="2340"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INDT-FUN-17-SW</w:t>
            </w:r>
          </w:p>
        </w:tc>
        <w:tc>
          <w:tcPr>
            <w:tcW w:w="1014" w:type="dxa"/>
            <w:tcBorders>
              <w:top w:val="nil"/>
              <w:left w:val="nil"/>
              <w:bottom w:val="single" w:sz="4" w:space="0" w:color="auto"/>
              <w:right w:val="single" w:sz="4" w:space="0" w:color="auto"/>
            </w:tcBorders>
            <w:shd w:val="clear" w:color="auto" w:fill="auto"/>
            <w:noWrap/>
            <w:vAlign w:val="bottom"/>
            <w:hideMark/>
          </w:tcPr>
          <w:p w:rsidR="00CF58A4" w:rsidRDefault="00CF58A4">
            <w:pPr>
              <w:rPr>
                <w:rFonts w:ascii="Calibri" w:hAnsi="Calibri" w:cs="Calibri"/>
                <w:color w:val="000000"/>
                <w:sz w:val="22"/>
                <w:szCs w:val="22"/>
              </w:rPr>
            </w:pPr>
            <w:r>
              <w:rPr>
                <w:rFonts w:ascii="Calibri" w:hAnsi="Calibri" w:cs="Calibri"/>
                <w:color w:val="000000"/>
                <w:sz w:val="22"/>
                <w:szCs w:val="22"/>
              </w:rPr>
              <w:t>Completed</w:t>
            </w:r>
          </w:p>
        </w:tc>
      </w:tr>
    </w:tbl>
    <w:p w:rsidR="00CF58A4" w:rsidRPr="00CF58A4" w:rsidRDefault="00CF58A4" w:rsidP="00CF58A4">
      <w:pPr>
        <w:pStyle w:val="BodyText"/>
      </w:pPr>
    </w:p>
    <w:sectPr w:rsidR="00CF58A4" w:rsidRPr="00CF58A4" w:rsidSect="00811B9D">
      <w:headerReference w:type="default" r:id="rId22"/>
      <w:pgSz w:w="11906" w:h="16838"/>
      <w:pgMar w:top="1134" w:right="1134" w:bottom="1560" w:left="1133" w:header="720" w:footer="5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D5D" w:rsidRDefault="00357D5D" w:rsidP="00AE059A">
      <w:r>
        <w:separator/>
      </w:r>
    </w:p>
  </w:endnote>
  <w:endnote w:type="continuationSeparator" w:id="0">
    <w:p w:rsidR="00357D5D" w:rsidRDefault="00357D5D" w:rsidP="00AE059A">
      <w:r>
        <w:continuationSeparator/>
      </w:r>
    </w:p>
  </w:endnote>
  <w:endnote w:type="continuationNotice" w:id="1">
    <w:p w:rsidR="00357D5D" w:rsidRDefault="00357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A4" w:rsidRDefault="00CF58A4" w:rsidP="004F07EE">
    <w:pPr>
      <w:pStyle w:val="Footer"/>
    </w:pPr>
    <w:r>
      <w:rPr>
        <w:noProof/>
        <w:lang w:eastAsia="en-AU"/>
      </w:rPr>
      <w:drawing>
        <wp:anchor distT="0" distB="0" distL="114300" distR="114300" simplePos="0" relativeHeight="251656192" behindDoc="1" locked="1" layoutInCell="1" allowOverlap="1" wp14:anchorId="795B5955" wp14:editId="795B5956">
          <wp:simplePos x="0" y="0"/>
          <wp:positionH relativeFrom="page">
            <wp:posOffset>733425</wp:posOffset>
          </wp:positionH>
          <wp:positionV relativeFrom="page">
            <wp:posOffset>10020300</wp:posOffset>
          </wp:positionV>
          <wp:extent cx="6172200" cy="323850"/>
          <wp:effectExtent l="0" t="0" r="0" b="6350"/>
          <wp:wrapNone/>
          <wp:docPr id="27" name="Picture 459" descr="facsimile-address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facsimile-addresspan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0" cy="3238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D5D" w:rsidRDefault="00357D5D" w:rsidP="00AE059A">
      <w:r>
        <w:separator/>
      </w:r>
    </w:p>
  </w:footnote>
  <w:footnote w:type="continuationSeparator" w:id="0">
    <w:p w:rsidR="00357D5D" w:rsidRDefault="00357D5D" w:rsidP="00AE059A">
      <w:r>
        <w:continuationSeparator/>
      </w:r>
    </w:p>
  </w:footnote>
  <w:footnote w:type="continuationNotice" w:id="1">
    <w:p w:rsidR="00357D5D" w:rsidRDefault="00357D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A4" w:rsidRDefault="00CF58A4" w:rsidP="00B06772">
    <w:pPr>
      <w:pStyle w:val="Header"/>
    </w:pPr>
    <w:r>
      <w:rPr>
        <w:caps w:val="0"/>
        <w:noProof/>
        <w:lang w:eastAsia="en-AU"/>
      </w:rPr>
      <w:drawing>
        <wp:anchor distT="0" distB="0" distL="114300" distR="114300" simplePos="0" relativeHeight="251657216" behindDoc="1" locked="1" layoutInCell="1" allowOverlap="1" wp14:anchorId="795B5953" wp14:editId="795B5954">
          <wp:simplePos x="0" y="0"/>
          <wp:positionH relativeFrom="page">
            <wp:posOffset>180975</wp:posOffset>
          </wp:positionH>
          <wp:positionV relativeFrom="page">
            <wp:posOffset>180975</wp:posOffset>
          </wp:positionV>
          <wp:extent cx="7200265" cy="1524000"/>
          <wp:effectExtent l="0" t="0" r="0" b="0"/>
          <wp:wrapNone/>
          <wp:docPr id="26" name="Picture 450" descr="report-masthead-day2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report-masthead-day2da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65" cy="152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8A4" w:rsidRDefault="00CF58A4" w:rsidP="00142C43">
    <w:pPr>
      <w:pStyle w:val="Header"/>
      <w:tabs>
        <w:tab w:val="left" w:pos="7088"/>
        <w:tab w:val="left" w:pos="7513"/>
      </w:tabs>
      <w:ind w:right="2550"/>
      <w:rPr>
        <w:rStyle w:val="HeaderChar"/>
        <w:caps/>
      </w:rPr>
    </w:pPr>
    <w:r>
      <w:t xml:space="preserve">Power of Choice – EN&amp;MC Industry testing </w:t>
    </w:r>
    <w:r>
      <w:rPr>
        <w:rStyle w:val="HeaderChar"/>
        <w:caps/>
      </w:rPr>
      <w:t>Test Summary Report</w:t>
    </w:r>
  </w:p>
  <w:p w:rsidR="00CF58A4" w:rsidRDefault="00357D5D" w:rsidP="00142C43">
    <w:pPr>
      <w:pStyle w:val="Header"/>
      <w:tabs>
        <w:tab w:val="left" w:pos="7088"/>
        <w:tab w:val="left" w:pos="7513"/>
      </w:tabs>
      <w:ind w:right="2550"/>
    </w:pPr>
    <w:r>
      <w:pict w14:anchorId="795B5959">
        <v:rect id="_x0000_i1025" style="width:349.5pt;height:1pt" o:hrpct="986" o:hrstd="t" o:hrnoshade="t" o:hr="t" fillcolor="black" stroked="f"/>
      </w:pict>
    </w:r>
    <w:r w:rsidR="00CF58A4">
      <w:rPr>
        <w:caps w:val="0"/>
        <w:noProof/>
        <w:lang w:eastAsia="en-AU"/>
      </w:rPr>
      <w:drawing>
        <wp:anchor distT="0" distB="0" distL="114300" distR="114300" simplePos="0" relativeHeight="251658240" behindDoc="1" locked="1" layoutInCell="1" allowOverlap="1" wp14:anchorId="795B595A" wp14:editId="795B595B">
          <wp:simplePos x="0" y="0"/>
          <wp:positionH relativeFrom="page">
            <wp:posOffset>8330565</wp:posOffset>
          </wp:positionH>
          <wp:positionV relativeFrom="page">
            <wp:posOffset>180975</wp:posOffset>
          </wp:positionV>
          <wp:extent cx="1495425" cy="495300"/>
          <wp:effectExtent l="0" t="0" r="3175" b="12700"/>
          <wp:wrapTight wrapText="bothSides">
            <wp:wrapPolygon edited="0">
              <wp:start x="0" y="0"/>
              <wp:lineTo x="0" y="21046"/>
              <wp:lineTo x="21279" y="21046"/>
              <wp:lineTo x="21279" y="0"/>
              <wp:lineTo x="0" y="0"/>
            </wp:wrapPolygon>
          </wp:wrapTight>
          <wp:docPr id="3" name="Picture 142"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495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B2FD0"/>
    <w:multiLevelType w:val="hybridMultilevel"/>
    <w:tmpl w:val="1018D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BB125A"/>
    <w:multiLevelType w:val="hybridMultilevel"/>
    <w:tmpl w:val="FE382D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94706E"/>
    <w:multiLevelType w:val="hybridMultilevel"/>
    <w:tmpl w:val="FDB00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0553A3A"/>
    <w:multiLevelType w:val="hybridMultilevel"/>
    <w:tmpl w:val="0AF01E5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1FA65A72"/>
    <w:multiLevelType w:val="hybridMultilevel"/>
    <w:tmpl w:val="FB5EE52E"/>
    <w:lvl w:ilvl="0" w:tplc="14CC5444">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0907C6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6606D3"/>
    <w:multiLevelType w:val="hybridMultilevel"/>
    <w:tmpl w:val="DD5461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D2D5C3A"/>
    <w:multiLevelType w:val="hybridMultilevel"/>
    <w:tmpl w:val="D76C03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E6044CE"/>
    <w:multiLevelType w:val="multilevel"/>
    <w:tmpl w:val="1AF0C2F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4403"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3CC66C5"/>
    <w:multiLevelType w:val="hybridMultilevel"/>
    <w:tmpl w:val="896ECD74"/>
    <w:lvl w:ilvl="0" w:tplc="88103AF8">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6010FAB"/>
    <w:multiLevelType w:val="hybridMultilevel"/>
    <w:tmpl w:val="894838DA"/>
    <w:lvl w:ilvl="0" w:tplc="F35CBA52">
      <w:start w:val="1"/>
      <w:numFmt w:val="bullet"/>
      <w:pStyle w:val="ListBullet"/>
      <w:lvlText w:val=""/>
      <w:lvlJc w:val="left"/>
      <w:pPr>
        <w:tabs>
          <w:tab w:val="num" w:pos="714"/>
        </w:tabs>
        <w:ind w:left="714" w:hanging="354"/>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B23635D"/>
    <w:multiLevelType w:val="hybridMultilevel"/>
    <w:tmpl w:val="DEE474B4"/>
    <w:lvl w:ilvl="0" w:tplc="0478DE7E">
      <w:start w:val="1"/>
      <w:numFmt w:val="lowerLetter"/>
      <w:pStyle w:val="Bullet1"/>
      <w:lvlText w:val="%1)"/>
      <w:lvlJc w:val="left"/>
      <w:pPr>
        <w:ind w:left="360" w:hanging="360"/>
      </w:pPr>
      <w:rPr>
        <w:rFonts w:hint="default"/>
      </w:rPr>
    </w:lvl>
    <w:lvl w:ilvl="1" w:tplc="0C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A0851"/>
    <w:multiLevelType w:val="hybridMultilevel"/>
    <w:tmpl w:val="F01CF7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2B3F7E"/>
    <w:multiLevelType w:val="hybridMultilevel"/>
    <w:tmpl w:val="40CC3708"/>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6BF5E0D"/>
    <w:multiLevelType w:val="hybridMultilevel"/>
    <w:tmpl w:val="3118B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8F0188"/>
    <w:multiLevelType w:val="hybridMultilevel"/>
    <w:tmpl w:val="998CFAF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FE0EB6"/>
    <w:multiLevelType w:val="multilevel"/>
    <w:tmpl w:val="38462BF4"/>
    <w:lvl w:ilvl="0">
      <w:start w:val="1"/>
      <w:numFmt w:val="decimal"/>
      <w:pStyle w:val="Bullet3"/>
      <w:lvlText w:val="A.%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1E659A"/>
    <w:multiLevelType w:val="hybridMultilevel"/>
    <w:tmpl w:val="02BA08A6"/>
    <w:lvl w:ilvl="0" w:tplc="70EC89E6">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FBE4FA2"/>
    <w:multiLevelType w:val="hybridMultilevel"/>
    <w:tmpl w:val="9E6C12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07A79CF"/>
    <w:multiLevelType w:val="hybridMultilevel"/>
    <w:tmpl w:val="BBEE12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0DB001A"/>
    <w:multiLevelType w:val="hybridMultilevel"/>
    <w:tmpl w:val="CFB4A23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61E01499"/>
    <w:multiLevelType w:val="hybridMultilevel"/>
    <w:tmpl w:val="2B281C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93C6F0A"/>
    <w:multiLevelType w:val="hybridMultilevel"/>
    <w:tmpl w:val="28FCB41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9524F31"/>
    <w:multiLevelType w:val="hybridMultilevel"/>
    <w:tmpl w:val="6276E7BC"/>
    <w:lvl w:ilvl="0" w:tplc="0AE8BA16">
      <w:start w:val="1"/>
      <w:numFmt w:val="decimal"/>
      <w:pStyle w:val="ListNumber"/>
      <w:lvlText w:val="%1."/>
      <w:lvlJc w:val="left"/>
      <w:pPr>
        <w:tabs>
          <w:tab w:val="num" w:pos="714"/>
        </w:tabs>
        <w:ind w:left="714" w:hanging="354"/>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E7977D9"/>
    <w:multiLevelType w:val="hybridMultilevel"/>
    <w:tmpl w:val="0FEC2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2F5777C"/>
    <w:multiLevelType w:val="singleLevel"/>
    <w:tmpl w:val="95E4DF9A"/>
    <w:lvl w:ilvl="0">
      <w:start w:val="1"/>
      <w:numFmt w:val="bullet"/>
      <w:pStyle w:val="Bullets"/>
      <w:lvlText w:val=""/>
      <w:lvlJc w:val="left"/>
      <w:pPr>
        <w:tabs>
          <w:tab w:val="num" w:pos="2160"/>
        </w:tabs>
        <w:ind w:left="2160" w:hanging="360"/>
      </w:pPr>
      <w:rPr>
        <w:rFonts w:ascii="Symbol" w:hAnsi="Symbol" w:hint="default"/>
      </w:rPr>
    </w:lvl>
  </w:abstractNum>
  <w:abstractNum w:abstractNumId="26" w15:restartNumberingAfterBreak="0">
    <w:nsid w:val="75CD7BA3"/>
    <w:multiLevelType w:val="hybridMultilevel"/>
    <w:tmpl w:val="B5305F62"/>
    <w:lvl w:ilvl="0" w:tplc="96A26434">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6A97C59"/>
    <w:multiLevelType w:val="hybridMultilevel"/>
    <w:tmpl w:val="90FEEDA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15:restartNumberingAfterBreak="0">
    <w:nsid w:val="7C604E36"/>
    <w:multiLevelType w:val="hybridMultilevel"/>
    <w:tmpl w:val="6E3C6544"/>
    <w:lvl w:ilvl="0" w:tplc="5020634C">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9"/>
  </w:num>
  <w:num w:numId="4">
    <w:abstractNumId w:val="26"/>
  </w:num>
  <w:num w:numId="5">
    <w:abstractNumId w:val="10"/>
  </w:num>
  <w:num w:numId="6">
    <w:abstractNumId w:val="4"/>
  </w:num>
  <w:num w:numId="7">
    <w:abstractNumId w:val="28"/>
  </w:num>
  <w:num w:numId="8">
    <w:abstractNumId w:val="11"/>
  </w:num>
  <w:num w:numId="9">
    <w:abstractNumId w:val="16"/>
  </w:num>
  <w:num w:numId="10">
    <w:abstractNumId w:val="15"/>
  </w:num>
  <w:num w:numId="11">
    <w:abstractNumId w:val="22"/>
  </w:num>
  <w:num w:numId="12">
    <w:abstractNumId w:val="19"/>
  </w:num>
  <w:num w:numId="13">
    <w:abstractNumId w:val="12"/>
  </w:num>
  <w:num w:numId="14">
    <w:abstractNumId w:val="14"/>
  </w:num>
  <w:num w:numId="15">
    <w:abstractNumId w:val="7"/>
  </w:num>
  <w:num w:numId="16">
    <w:abstractNumId w:val="21"/>
  </w:num>
  <w:num w:numId="17">
    <w:abstractNumId w:val="20"/>
  </w:num>
  <w:num w:numId="18">
    <w:abstractNumId w:val="25"/>
  </w:num>
  <w:num w:numId="19">
    <w:abstractNumId w:val="18"/>
  </w:num>
  <w:num w:numId="20">
    <w:abstractNumId w:val="5"/>
  </w:num>
  <w:num w:numId="21">
    <w:abstractNumId w:val="0"/>
  </w:num>
  <w:num w:numId="22">
    <w:abstractNumId w:val="8"/>
  </w:num>
  <w:num w:numId="23">
    <w:abstractNumId w:val="18"/>
  </w:num>
  <w:num w:numId="24">
    <w:abstractNumId w:val="18"/>
  </w:num>
  <w:num w:numId="25">
    <w:abstractNumId w:val="2"/>
  </w:num>
  <w:num w:numId="26">
    <w:abstractNumId w:val="24"/>
  </w:num>
  <w:num w:numId="27">
    <w:abstractNumId w:val="13"/>
  </w:num>
  <w:num w:numId="28">
    <w:abstractNumId w:val="1"/>
  </w:num>
  <w:num w:numId="29">
    <w:abstractNumId w:val="6"/>
  </w:num>
  <w:num w:numId="30">
    <w:abstractNumId w:val="17"/>
  </w:num>
  <w:num w:numId="31">
    <w:abstractNumId w:val="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hideSpellingErrors/>
  <w:hideGrammaticalErrors/>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758"/>
    <w:rsid w:val="000008D1"/>
    <w:rsid w:val="000009CD"/>
    <w:rsid w:val="00006EB9"/>
    <w:rsid w:val="00007731"/>
    <w:rsid w:val="0000788B"/>
    <w:rsid w:val="00010C74"/>
    <w:rsid w:val="000118D3"/>
    <w:rsid w:val="00012516"/>
    <w:rsid w:val="000125C3"/>
    <w:rsid w:val="00012BAE"/>
    <w:rsid w:val="00013DAF"/>
    <w:rsid w:val="00014E0D"/>
    <w:rsid w:val="00015456"/>
    <w:rsid w:val="00016220"/>
    <w:rsid w:val="000165C7"/>
    <w:rsid w:val="0001786F"/>
    <w:rsid w:val="00017A75"/>
    <w:rsid w:val="00017BBC"/>
    <w:rsid w:val="000209DD"/>
    <w:rsid w:val="00021E06"/>
    <w:rsid w:val="00022B79"/>
    <w:rsid w:val="0002366E"/>
    <w:rsid w:val="0002445C"/>
    <w:rsid w:val="00025EF6"/>
    <w:rsid w:val="000303EF"/>
    <w:rsid w:val="00031340"/>
    <w:rsid w:val="00032CD0"/>
    <w:rsid w:val="0003393F"/>
    <w:rsid w:val="000346B5"/>
    <w:rsid w:val="00035194"/>
    <w:rsid w:val="000356EE"/>
    <w:rsid w:val="00036675"/>
    <w:rsid w:val="00037CF3"/>
    <w:rsid w:val="000404B1"/>
    <w:rsid w:val="00041275"/>
    <w:rsid w:val="00042B34"/>
    <w:rsid w:val="00042F5B"/>
    <w:rsid w:val="000444A0"/>
    <w:rsid w:val="000448DA"/>
    <w:rsid w:val="000456C1"/>
    <w:rsid w:val="00045DC9"/>
    <w:rsid w:val="00045F65"/>
    <w:rsid w:val="00050A16"/>
    <w:rsid w:val="00051203"/>
    <w:rsid w:val="00054052"/>
    <w:rsid w:val="000542E9"/>
    <w:rsid w:val="00054612"/>
    <w:rsid w:val="000548C7"/>
    <w:rsid w:val="00054F42"/>
    <w:rsid w:val="00055A35"/>
    <w:rsid w:val="000564BC"/>
    <w:rsid w:val="00057AC5"/>
    <w:rsid w:val="00061049"/>
    <w:rsid w:val="0006113A"/>
    <w:rsid w:val="0006265D"/>
    <w:rsid w:val="000633D3"/>
    <w:rsid w:val="0006470A"/>
    <w:rsid w:val="0007121C"/>
    <w:rsid w:val="00071E39"/>
    <w:rsid w:val="0007288B"/>
    <w:rsid w:val="00072F95"/>
    <w:rsid w:val="0007357D"/>
    <w:rsid w:val="00074F41"/>
    <w:rsid w:val="00074FAA"/>
    <w:rsid w:val="000802C3"/>
    <w:rsid w:val="00080EAD"/>
    <w:rsid w:val="0008147B"/>
    <w:rsid w:val="0008427C"/>
    <w:rsid w:val="00085DC6"/>
    <w:rsid w:val="00090EA5"/>
    <w:rsid w:val="0009444B"/>
    <w:rsid w:val="00094786"/>
    <w:rsid w:val="00095F9C"/>
    <w:rsid w:val="00096632"/>
    <w:rsid w:val="00096CC4"/>
    <w:rsid w:val="000A10CE"/>
    <w:rsid w:val="000A3054"/>
    <w:rsid w:val="000A3DA3"/>
    <w:rsid w:val="000A7357"/>
    <w:rsid w:val="000A7DA4"/>
    <w:rsid w:val="000B192D"/>
    <w:rsid w:val="000B313C"/>
    <w:rsid w:val="000B387A"/>
    <w:rsid w:val="000B771C"/>
    <w:rsid w:val="000C1E0A"/>
    <w:rsid w:val="000C2F5B"/>
    <w:rsid w:val="000C6A51"/>
    <w:rsid w:val="000D09D9"/>
    <w:rsid w:val="000D1CA9"/>
    <w:rsid w:val="000D216E"/>
    <w:rsid w:val="000D2E78"/>
    <w:rsid w:val="000D333E"/>
    <w:rsid w:val="000D34E8"/>
    <w:rsid w:val="000D35F5"/>
    <w:rsid w:val="000D4758"/>
    <w:rsid w:val="000D6062"/>
    <w:rsid w:val="000D65DC"/>
    <w:rsid w:val="000D71E6"/>
    <w:rsid w:val="000D7C96"/>
    <w:rsid w:val="000E1589"/>
    <w:rsid w:val="000E190E"/>
    <w:rsid w:val="000E1913"/>
    <w:rsid w:val="000E1D47"/>
    <w:rsid w:val="000E3D7D"/>
    <w:rsid w:val="000E5091"/>
    <w:rsid w:val="000E64D0"/>
    <w:rsid w:val="000E6CE6"/>
    <w:rsid w:val="000E7936"/>
    <w:rsid w:val="000F0265"/>
    <w:rsid w:val="000F0C61"/>
    <w:rsid w:val="000F0FB2"/>
    <w:rsid w:val="000F1556"/>
    <w:rsid w:val="000F162A"/>
    <w:rsid w:val="000F1C96"/>
    <w:rsid w:val="000F1FC6"/>
    <w:rsid w:val="000F2068"/>
    <w:rsid w:val="000F2075"/>
    <w:rsid w:val="000F2D2F"/>
    <w:rsid w:val="000F7F2C"/>
    <w:rsid w:val="00100D1D"/>
    <w:rsid w:val="0010190D"/>
    <w:rsid w:val="00103120"/>
    <w:rsid w:val="001032FD"/>
    <w:rsid w:val="001035D9"/>
    <w:rsid w:val="00105293"/>
    <w:rsid w:val="00105F10"/>
    <w:rsid w:val="00106015"/>
    <w:rsid w:val="00106045"/>
    <w:rsid w:val="00106AA6"/>
    <w:rsid w:val="00115F75"/>
    <w:rsid w:val="00115FFB"/>
    <w:rsid w:val="00116133"/>
    <w:rsid w:val="00117864"/>
    <w:rsid w:val="00117BC9"/>
    <w:rsid w:val="0012088B"/>
    <w:rsid w:val="001217CE"/>
    <w:rsid w:val="001220E4"/>
    <w:rsid w:val="00123252"/>
    <w:rsid w:val="00124C0C"/>
    <w:rsid w:val="001251C3"/>
    <w:rsid w:val="00125DB9"/>
    <w:rsid w:val="00127A9F"/>
    <w:rsid w:val="00133187"/>
    <w:rsid w:val="001331ED"/>
    <w:rsid w:val="00134B41"/>
    <w:rsid w:val="001351A1"/>
    <w:rsid w:val="001367EE"/>
    <w:rsid w:val="00137123"/>
    <w:rsid w:val="00137D53"/>
    <w:rsid w:val="00142A45"/>
    <w:rsid w:val="00142C43"/>
    <w:rsid w:val="00142C94"/>
    <w:rsid w:val="00143389"/>
    <w:rsid w:val="0014437E"/>
    <w:rsid w:val="00144EE8"/>
    <w:rsid w:val="001469A5"/>
    <w:rsid w:val="00147817"/>
    <w:rsid w:val="00147B59"/>
    <w:rsid w:val="001509A1"/>
    <w:rsid w:val="001530A2"/>
    <w:rsid w:val="001531C8"/>
    <w:rsid w:val="001545C6"/>
    <w:rsid w:val="00154AA1"/>
    <w:rsid w:val="00154BC8"/>
    <w:rsid w:val="00154D51"/>
    <w:rsid w:val="00155C53"/>
    <w:rsid w:val="001562AD"/>
    <w:rsid w:val="0015684A"/>
    <w:rsid w:val="00156D5B"/>
    <w:rsid w:val="0015758B"/>
    <w:rsid w:val="00160B3F"/>
    <w:rsid w:val="00161D64"/>
    <w:rsid w:val="00161EB0"/>
    <w:rsid w:val="00162B17"/>
    <w:rsid w:val="00164D6C"/>
    <w:rsid w:val="00164D9E"/>
    <w:rsid w:val="00165F90"/>
    <w:rsid w:val="001676AE"/>
    <w:rsid w:val="00167F85"/>
    <w:rsid w:val="00171119"/>
    <w:rsid w:val="001717FB"/>
    <w:rsid w:val="001719BC"/>
    <w:rsid w:val="00171B52"/>
    <w:rsid w:val="00171F0F"/>
    <w:rsid w:val="0017297E"/>
    <w:rsid w:val="0017426E"/>
    <w:rsid w:val="00174B81"/>
    <w:rsid w:val="00175897"/>
    <w:rsid w:val="001768D7"/>
    <w:rsid w:val="001778D2"/>
    <w:rsid w:val="00177E13"/>
    <w:rsid w:val="00177E43"/>
    <w:rsid w:val="00181807"/>
    <w:rsid w:val="00182F34"/>
    <w:rsid w:val="00183081"/>
    <w:rsid w:val="001836BD"/>
    <w:rsid w:val="00183FFB"/>
    <w:rsid w:val="00184652"/>
    <w:rsid w:val="00184BA1"/>
    <w:rsid w:val="00185DB0"/>
    <w:rsid w:val="00185F5A"/>
    <w:rsid w:val="00186A3B"/>
    <w:rsid w:val="00186AEC"/>
    <w:rsid w:val="001874C7"/>
    <w:rsid w:val="00191104"/>
    <w:rsid w:val="00191608"/>
    <w:rsid w:val="00191946"/>
    <w:rsid w:val="00192472"/>
    <w:rsid w:val="00192C2A"/>
    <w:rsid w:val="001933B2"/>
    <w:rsid w:val="0019441E"/>
    <w:rsid w:val="001946E2"/>
    <w:rsid w:val="00194A55"/>
    <w:rsid w:val="00194D3E"/>
    <w:rsid w:val="0019508E"/>
    <w:rsid w:val="00195C46"/>
    <w:rsid w:val="001962AC"/>
    <w:rsid w:val="0019675E"/>
    <w:rsid w:val="001A057A"/>
    <w:rsid w:val="001A2235"/>
    <w:rsid w:val="001A29EE"/>
    <w:rsid w:val="001A32E6"/>
    <w:rsid w:val="001A4DAA"/>
    <w:rsid w:val="001A540C"/>
    <w:rsid w:val="001B044C"/>
    <w:rsid w:val="001B1657"/>
    <w:rsid w:val="001B2D9A"/>
    <w:rsid w:val="001B33CC"/>
    <w:rsid w:val="001B4C7A"/>
    <w:rsid w:val="001B5230"/>
    <w:rsid w:val="001B582D"/>
    <w:rsid w:val="001B7A71"/>
    <w:rsid w:val="001C1485"/>
    <w:rsid w:val="001C40D0"/>
    <w:rsid w:val="001C4B0B"/>
    <w:rsid w:val="001C6CD4"/>
    <w:rsid w:val="001C6D64"/>
    <w:rsid w:val="001C6DD6"/>
    <w:rsid w:val="001C7BC7"/>
    <w:rsid w:val="001D05B0"/>
    <w:rsid w:val="001D130A"/>
    <w:rsid w:val="001D1E2A"/>
    <w:rsid w:val="001D29B8"/>
    <w:rsid w:val="001D308E"/>
    <w:rsid w:val="001D3C15"/>
    <w:rsid w:val="001D67CC"/>
    <w:rsid w:val="001D74C8"/>
    <w:rsid w:val="001D7945"/>
    <w:rsid w:val="001D7B92"/>
    <w:rsid w:val="001E08E2"/>
    <w:rsid w:val="001E1144"/>
    <w:rsid w:val="001E1A46"/>
    <w:rsid w:val="001E294B"/>
    <w:rsid w:val="001E3C10"/>
    <w:rsid w:val="001E3C76"/>
    <w:rsid w:val="001E3C9D"/>
    <w:rsid w:val="001E4446"/>
    <w:rsid w:val="001E5B19"/>
    <w:rsid w:val="001E5D92"/>
    <w:rsid w:val="001E6D8D"/>
    <w:rsid w:val="001E7E36"/>
    <w:rsid w:val="001F08C5"/>
    <w:rsid w:val="001F0DC3"/>
    <w:rsid w:val="001F1072"/>
    <w:rsid w:val="001F29C5"/>
    <w:rsid w:val="001F35D1"/>
    <w:rsid w:val="001F3F24"/>
    <w:rsid w:val="001F7D7B"/>
    <w:rsid w:val="00200F9E"/>
    <w:rsid w:val="00201AF5"/>
    <w:rsid w:val="00201D2E"/>
    <w:rsid w:val="00202F57"/>
    <w:rsid w:val="0020769E"/>
    <w:rsid w:val="002112D9"/>
    <w:rsid w:val="00211E6A"/>
    <w:rsid w:val="00212A6D"/>
    <w:rsid w:val="00214721"/>
    <w:rsid w:val="00214823"/>
    <w:rsid w:val="0021484D"/>
    <w:rsid w:val="002157C3"/>
    <w:rsid w:val="0021612D"/>
    <w:rsid w:val="00216C45"/>
    <w:rsid w:val="002170B3"/>
    <w:rsid w:val="002172F7"/>
    <w:rsid w:val="002178FD"/>
    <w:rsid w:val="002200F6"/>
    <w:rsid w:val="00220808"/>
    <w:rsid w:val="00220DDF"/>
    <w:rsid w:val="00221442"/>
    <w:rsid w:val="00221500"/>
    <w:rsid w:val="00221D85"/>
    <w:rsid w:val="00221FFB"/>
    <w:rsid w:val="002247D2"/>
    <w:rsid w:val="00224EFC"/>
    <w:rsid w:val="00226C1E"/>
    <w:rsid w:val="002270B8"/>
    <w:rsid w:val="002300DF"/>
    <w:rsid w:val="00230CC6"/>
    <w:rsid w:val="0023105B"/>
    <w:rsid w:val="00231B43"/>
    <w:rsid w:val="0023230B"/>
    <w:rsid w:val="00235A62"/>
    <w:rsid w:val="00236A5E"/>
    <w:rsid w:val="00241D27"/>
    <w:rsid w:val="00245478"/>
    <w:rsid w:val="002456F6"/>
    <w:rsid w:val="00245847"/>
    <w:rsid w:val="00245D6A"/>
    <w:rsid w:val="00246553"/>
    <w:rsid w:val="0024747F"/>
    <w:rsid w:val="0024762C"/>
    <w:rsid w:val="00247BFC"/>
    <w:rsid w:val="00251A55"/>
    <w:rsid w:val="00253ED6"/>
    <w:rsid w:val="002553D6"/>
    <w:rsid w:val="00255680"/>
    <w:rsid w:val="002556A9"/>
    <w:rsid w:val="002561DA"/>
    <w:rsid w:val="00256441"/>
    <w:rsid w:val="002575F2"/>
    <w:rsid w:val="002577F3"/>
    <w:rsid w:val="00257D28"/>
    <w:rsid w:val="0026043E"/>
    <w:rsid w:val="0026046B"/>
    <w:rsid w:val="002604E1"/>
    <w:rsid w:val="00262F36"/>
    <w:rsid w:val="0026442E"/>
    <w:rsid w:val="0026502E"/>
    <w:rsid w:val="00265940"/>
    <w:rsid w:val="00265A0A"/>
    <w:rsid w:val="00270508"/>
    <w:rsid w:val="0027170C"/>
    <w:rsid w:val="0027177D"/>
    <w:rsid w:val="00273604"/>
    <w:rsid w:val="00274ED5"/>
    <w:rsid w:val="00275327"/>
    <w:rsid w:val="002755BF"/>
    <w:rsid w:val="00275C18"/>
    <w:rsid w:val="002767FA"/>
    <w:rsid w:val="0028012A"/>
    <w:rsid w:val="00282B72"/>
    <w:rsid w:val="00285508"/>
    <w:rsid w:val="00290245"/>
    <w:rsid w:val="0029289C"/>
    <w:rsid w:val="002939E6"/>
    <w:rsid w:val="0029400E"/>
    <w:rsid w:val="002943B7"/>
    <w:rsid w:val="0029461C"/>
    <w:rsid w:val="00294A61"/>
    <w:rsid w:val="00294CB2"/>
    <w:rsid w:val="00295069"/>
    <w:rsid w:val="00296A65"/>
    <w:rsid w:val="0029743D"/>
    <w:rsid w:val="00297972"/>
    <w:rsid w:val="002A03F0"/>
    <w:rsid w:val="002A10EB"/>
    <w:rsid w:val="002A162F"/>
    <w:rsid w:val="002A1D53"/>
    <w:rsid w:val="002A2566"/>
    <w:rsid w:val="002A2DE1"/>
    <w:rsid w:val="002A2FA9"/>
    <w:rsid w:val="002A4124"/>
    <w:rsid w:val="002A4595"/>
    <w:rsid w:val="002A5078"/>
    <w:rsid w:val="002A5A37"/>
    <w:rsid w:val="002A5A5A"/>
    <w:rsid w:val="002A71F7"/>
    <w:rsid w:val="002A7A85"/>
    <w:rsid w:val="002B18E9"/>
    <w:rsid w:val="002B2658"/>
    <w:rsid w:val="002B2C7D"/>
    <w:rsid w:val="002B3467"/>
    <w:rsid w:val="002B4BFD"/>
    <w:rsid w:val="002B5CBC"/>
    <w:rsid w:val="002B65B7"/>
    <w:rsid w:val="002C00EF"/>
    <w:rsid w:val="002C03D4"/>
    <w:rsid w:val="002C167F"/>
    <w:rsid w:val="002C1C51"/>
    <w:rsid w:val="002C2305"/>
    <w:rsid w:val="002C34CB"/>
    <w:rsid w:val="002C37AA"/>
    <w:rsid w:val="002C4A0B"/>
    <w:rsid w:val="002C4E88"/>
    <w:rsid w:val="002C51FD"/>
    <w:rsid w:val="002C57B8"/>
    <w:rsid w:val="002C67F3"/>
    <w:rsid w:val="002D05C3"/>
    <w:rsid w:val="002D09F6"/>
    <w:rsid w:val="002D1EB4"/>
    <w:rsid w:val="002D228C"/>
    <w:rsid w:val="002D23E2"/>
    <w:rsid w:val="002D414B"/>
    <w:rsid w:val="002D419B"/>
    <w:rsid w:val="002D506C"/>
    <w:rsid w:val="002E09FB"/>
    <w:rsid w:val="002E1269"/>
    <w:rsid w:val="002E137B"/>
    <w:rsid w:val="002E1785"/>
    <w:rsid w:val="002F017B"/>
    <w:rsid w:val="002F1727"/>
    <w:rsid w:val="002F4152"/>
    <w:rsid w:val="002F5CED"/>
    <w:rsid w:val="002F6100"/>
    <w:rsid w:val="002F62FE"/>
    <w:rsid w:val="0030080B"/>
    <w:rsid w:val="00302B16"/>
    <w:rsid w:val="0030563A"/>
    <w:rsid w:val="00310FED"/>
    <w:rsid w:val="00312D30"/>
    <w:rsid w:val="00312E58"/>
    <w:rsid w:val="003130BC"/>
    <w:rsid w:val="00313580"/>
    <w:rsid w:val="003138DA"/>
    <w:rsid w:val="003145EE"/>
    <w:rsid w:val="00314DE3"/>
    <w:rsid w:val="0031705D"/>
    <w:rsid w:val="0032034E"/>
    <w:rsid w:val="003205D2"/>
    <w:rsid w:val="00321D8E"/>
    <w:rsid w:val="00322A2E"/>
    <w:rsid w:val="00323018"/>
    <w:rsid w:val="00323BC0"/>
    <w:rsid w:val="003240A6"/>
    <w:rsid w:val="003246A9"/>
    <w:rsid w:val="00324BD2"/>
    <w:rsid w:val="00325A9E"/>
    <w:rsid w:val="003267EF"/>
    <w:rsid w:val="00327BCB"/>
    <w:rsid w:val="00327F30"/>
    <w:rsid w:val="00330C6F"/>
    <w:rsid w:val="003320E2"/>
    <w:rsid w:val="003328DA"/>
    <w:rsid w:val="003331B2"/>
    <w:rsid w:val="0033389C"/>
    <w:rsid w:val="003340A4"/>
    <w:rsid w:val="00336525"/>
    <w:rsid w:val="0034059C"/>
    <w:rsid w:val="00340604"/>
    <w:rsid w:val="00341201"/>
    <w:rsid w:val="00341DFE"/>
    <w:rsid w:val="003429DD"/>
    <w:rsid w:val="003432D8"/>
    <w:rsid w:val="003439C1"/>
    <w:rsid w:val="003444E3"/>
    <w:rsid w:val="00345299"/>
    <w:rsid w:val="003473CB"/>
    <w:rsid w:val="00347F89"/>
    <w:rsid w:val="003501DB"/>
    <w:rsid w:val="00350999"/>
    <w:rsid w:val="00351030"/>
    <w:rsid w:val="00351925"/>
    <w:rsid w:val="00352B19"/>
    <w:rsid w:val="00352FBC"/>
    <w:rsid w:val="00355DCA"/>
    <w:rsid w:val="00356EB0"/>
    <w:rsid w:val="00357D5D"/>
    <w:rsid w:val="0036187C"/>
    <w:rsid w:val="00363E1F"/>
    <w:rsid w:val="00364472"/>
    <w:rsid w:val="003644D5"/>
    <w:rsid w:val="00364FE0"/>
    <w:rsid w:val="00365758"/>
    <w:rsid w:val="00365940"/>
    <w:rsid w:val="00370DAA"/>
    <w:rsid w:val="00371CAD"/>
    <w:rsid w:val="00372194"/>
    <w:rsid w:val="00372C01"/>
    <w:rsid w:val="00374631"/>
    <w:rsid w:val="00374A56"/>
    <w:rsid w:val="00375D12"/>
    <w:rsid w:val="00375DA2"/>
    <w:rsid w:val="00375F0E"/>
    <w:rsid w:val="00376FF3"/>
    <w:rsid w:val="00377FAE"/>
    <w:rsid w:val="003800C1"/>
    <w:rsid w:val="00380A07"/>
    <w:rsid w:val="00381284"/>
    <w:rsid w:val="00381896"/>
    <w:rsid w:val="00382834"/>
    <w:rsid w:val="00382E33"/>
    <w:rsid w:val="00383C95"/>
    <w:rsid w:val="003864BB"/>
    <w:rsid w:val="00386B1E"/>
    <w:rsid w:val="00386D66"/>
    <w:rsid w:val="00386DC3"/>
    <w:rsid w:val="00387F68"/>
    <w:rsid w:val="00390219"/>
    <w:rsid w:val="00393D7C"/>
    <w:rsid w:val="00393F6A"/>
    <w:rsid w:val="0039403D"/>
    <w:rsid w:val="003943AA"/>
    <w:rsid w:val="0039585D"/>
    <w:rsid w:val="00396557"/>
    <w:rsid w:val="003A0ABE"/>
    <w:rsid w:val="003A1760"/>
    <w:rsid w:val="003A2293"/>
    <w:rsid w:val="003A355F"/>
    <w:rsid w:val="003A3D41"/>
    <w:rsid w:val="003A4781"/>
    <w:rsid w:val="003A5344"/>
    <w:rsid w:val="003A5543"/>
    <w:rsid w:val="003A6C56"/>
    <w:rsid w:val="003B05DC"/>
    <w:rsid w:val="003B18A4"/>
    <w:rsid w:val="003B250C"/>
    <w:rsid w:val="003B2A4E"/>
    <w:rsid w:val="003B4793"/>
    <w:rsid w:val="003B4839"/>
    <w:rsid w:val="003B48F9"/>
    <w:rsid w:val="003B632F"/>
    <w:rsid w:val="003B6A91"/>
    <w:rsid w:val="003B6B56"/>
    <w:rsid w:val="003C0639"/>
    <w:rsid w:val="003C33AD"/>
    <w:rsid w:val="003C5730"/>
    <w:rsid w:val="003C6087"/>
    <w:rsid w:val="003C6BDB"/>
    <w:rsid w:val="003C776F"/>
    <w:rsid w:val="003D17BC"/>
    <w:rsid w:val="003D2FB0"/>
    <w:rsid w:val="003D315A"/>
    <w:rsid w:val="003D424B"/>
    <w:rsid w:val="003D4354"/>
    <w:rsid w:val="003D4D43"/>
    <w:rsid w:val="003D541B"/>
    <w:rsid w:val="003D5485"/>
    <w:rsid w:val="003D574A"/>
    <w:rsid w:val="003E0579"/>
    <w:rsid w:val="003E071B"/>
    <w:rsid w:val="003E0F92"/>
    <w:rsid w:val="003E2821"/>
    <w:rsid w:val="003E4031"/>
    <w:rsid w:val="003E4AB1"/>
    <w:rsid w:val="003E6D10"/>
    <w:rsid w:val="003E72AA"/>
    <w:rsid w:val="003F0595"/>
    <w:rsid w:val="003F13FB"/>
    <w:rsid w:val="003F205E"/>
    <w:rsid w:val="003F2D56"/>
    <w:rsid w:val="003F35D4"/>
    <w:rsid w:val="003F52CF"/>
    <w:rsid w:val="003F6FC1"/>
    <w:rsid w:val="003F7BEC"/>
    <w:rsid w:val="00401D50"/>
    <w:rsid w:val="00401E79"/>
    <w:rsid w:val="004026FB"/>
    <w:rsid w:val="00402E62"/>
    <w:rsid w:val="00403454"/>
    <w:rsid w:val="004036B7"/>
    <w:rsid w:val="00405CE7"/>
    <w:rsid w:val="00410878"/>
    <w:rsid w:val="00411A0F"/>
    <w:rsid w:val="004121EA"/>
    <w:rsid w:val="00412D3E"/>
    <w:rsid w:val="004147A1"/>
    <w:rsid w:val="00414D46"/>
    <w:rsid w:val="00414DB6"/>
    <w:rsid w:val="004167EC"/>
    <w:rsid w:val="00422612"/>
    <w:rsid w:val="00422954"/>
    <w:rsid w:val="004233EF"/>
    <w:rsid w:val="00424134"/>
    <w:rsid w:val="004242B6"/>
    <w:rsid w:val="00430687"/>
    <w:rsid w:val="004324B9"/>
    <w:rsid w:val="00432BA0"/>
    <w:rsid w:val="00435694"/>
    <w:rsid w:val="00435F49"/>
    <w:rsid w:val="00436270"/>
    <w:rsid w:val="00437E5D"/>
    <w:rsid w:val="00437EA1"/>
    <w:rsid w:val="004454E6"/>
    <w:rsid w:val="004464C2"/>
    <w:rsid w:val="00446751"/>
    <w:rsid w:val="00446ECE"/>
    <w:rsid w:val="00450113"/>
    <w:rsid w:val="004501C1"/>
    <w:rsid w:val="00450C53"/>
    <w:rsid w:val="004531E2"/>
    <w:rsid w:val="004548DE"/>
    <w:rsid w:val="00454D61"/>
    <w:rsid w:val="00454DD5"/>
    <w:rsid w:val="00454F56"/>
    <w:rsid w:val="00455AB6"/>
    <w:rsid w:val="0045602F"/>
    <w:rsid w:val="004561D8"/>
    <w:rsid w:val="00457532"/>
    <w:rsid w:val="00461594"/>
    <w:rsid w:val="00462261"/>
    <w:rsid w:val="00462A06"/>
    <w:rsid w:val="0046354B"/>
    <w:rsid w:val="00465F0F"/>
    <w:rsid w:val="00467905"/>
    <w:rsid w:val="00470067"/>
    <w:rsid w:val="00470F79"/>
    <w:rsid w:val="00471053"/>
    <w:rsid w:val="004737FA"/>
    <w:rsid w:val="00474337"/>
    <w:rsid w:val="0047684A"/>
    <w:rsid w:val="004774F9"/>
    <w:rsid w:val="00482B62"/>
    <w:rsid w:val="00482BFA"/>
    <w:rsid w:val="00483776"/>
    <w:rsid w:val="00485B1D"/>
    <w:rsid w:val="0048626B"/>
    <w:rsid w:val="004914D1"/>
    <w:rsid w:val="004915F1"/>
    <w:rsid w:val="0049197C"/>
    <w:rsid w:val="004928A6"/>
    <w:rsid w:val="0049415F"/>
    <w:rsid w:val="00495105"/>
    <w:rsid w:val="004954BB"/>
    <w:rsid w:val="0049580F"/>
    <w:rsid w:val="00496E5B"/>
    <w:rsid w:val="004A019A"/>
    <w:rsid w:val="004A1933"/>
    <w:rsid w:val="004A3CCE"/>
    <w:rsid w:val="004A3E87"/>
    <w:rsid w:val="004A4081"/>
    <w:rsid w:val="004A546D"/>
    <w:rsid w:val="004A5F2D"/>
    <w:rsid w:val="004B0449"/>
    <w:rsid w:val="004B22E2"/>
    <w:rsid w:val="004B3214"/>
    <w:rsid w:val="004B35C1"/>
    <w:rsid w:val="004B4483"/>
    <w:rsid w:val="004B4A20"/>
    <w:rsid w:val="004B66F2"/>
    <w:rsid w:val="004B6989"/>
    <w:rsid w:val="004B70AE"/>
    <w:rsid w:val="004C0156"/>
    <w:rsid w:val="004C09C8"/>
    <w:rsid w:val="004C287F"/>
    <w:rsid w:val="004C42E6"/>
    <w:rsid w:val="004C4473"/>
    <w:rsid w:val="004C56BB"/>
    <w:rsid w:val="004C5B15"/>
    <w:rsid w:val="004C655F"/>
    <w:rsid w:val="004C6C04"/>
    <w:rsid w:val="004D05F5"/>
    <w:rsid w:val="004D19CF"/>
    <w:rsid w:val="004D1C3B"/>
    <w:rsid w:val="004D2A0D"/>
    <w:rsid w:val="004D3211"/>
    <w:rsid w:val="004D3DA8"/>
    <w:rsid w:val="004D4C3F"/>
    <w:rsid w:val="004D515F"/>
    <w:rsid w:val="004D6127"/>
    <w:rsid w:val="004D6921"/>
    <w:rsid w:val="004D7DDC"/>
    <w:rsid w:val="004E0DE8"/>
    <w:rsid w:val="004E35AE"/>
    <w:rsid w:val="004E442F"/>
    <w:rsid w:val="004E59D4"/>
    <w:rsid w:val="004F0712"/>
    <w:rsid w:val="004F07EE"/>
    <w:rsid w:val="004F08A8"/>
    <w:rsid w:val="004F54C8"/>
    <w:rsid w:val="004F57AB"/>
    <w:rsid w:val="004F5DFA"/>
    <w:rsid w:val="004F5F33"/>
    <w:rsid w:val="004F79DF"/>
    <w:rsid w:val="0050214D"/>
    <w:rsid w:val="005039EC"/>
    <w:rsid w:val="00504060"/>
    <w:rsid w:val="00505615"/>
    <w:rsid w:val="00506679"/>
    <w:rsid w:val="00506C74"/>
    <w:rsid w:val="00506E60"/>
    <w:rsid w:val="00506EE9"/>
    <w:rsid w:val="00506F07"/>
    <w:rsid w:val="005100BD"/>
    <w:rsid w:val="005106AF"/>
    <w:rsid w:val="005121F3"/>
    <w:rsid w:val="005134FA"/>
    <w:rsid w:val="00513FB9"/>
    <w:rsid w:val="00514702"/>
    <w:rsid w:val="00515356"/>
    <w:rsid w:val="00515A5C"/>
    <w:rsid w:val="00516596"/>
    <w:rsid w:val="00517A13"/>
    <w:rsid w:val="00517D5D"/>
    <w:rsid w:val="00520569"/>
    <w:rsid w:val="00523795"/>
    <w:rsid w:val="00523DB1"/>
    <w:rsid w:val="005246C0"/>
    <w:rsid w:val="00525396"/>
    <w:rsid w:val="00526A93"/>
    <w:rsid w:val="00527DC3"/>
    <w:rsid w:val="00531E96"/>
    <w:rsid w:val="005320AE"/>
    <w:rsid w:val="005320D2"/>
    <w:rsid w:val="005325BA"/>
    <w:rsid w:val="00535410"/>
    <w:rsid w:val="0053672A"/>
    <w:rsid w:val="0054053F"/>
    <w:rsid w:val="0054086E"/>
    <w:rsid w:val="00540E86"/>
    <w:rsid w:val="00542239"/>
    <w:rsid w:val="00542B34"/>
    <w:rsid w:val="00542E9C"/>
    <w:rsid w:val="005437D1"/>
    <w:rsid w:val="00544C54"/>
    <w:rsid w:val="005506BB"/>
    <w:rsid w:val="00550949"/>
    <w:rsid w:val="00550C9B"/>
    <w:rsid w:val="00550E93"/>
    <w:rsid w:val="00552D0F"/>
    <w:rsid w:val="005531DB"/>
    <w:rsid w:val="00555007"/>
    <w:rsid w:val="005603AB"/>
    <w:rsid w:val="00561849"/>
    <w:rsid w:val="00564C81"/>
    <w:rsid w:val="005654DE"/>
    <w:rsid w:val="005679DD"/>
    <w:rsid w:val="005712D9"/>
    <w:rsid w:val="00571B6E"/>
    <w:rsid w:val="00572396"/>
    <w:rsid w:val="00573466"/>
    <w:rsid w:val="0057548F"/>
    <w:rsid w:val="00575C82"/>
    <w:rsid w:val="005763B2"/>
    <w:rsid w:val="00577D71"/>
    <w:rsid w:val="00582735"/>
    <w:rsid w:val="005827FF"/>
    <w:rsid w:val="00583B4F"/>
    <w:rsid w:val="005858BB"/>
    <w:rsid w:val="00586088"/>
    <w:rsid w:val="005868F3"/>
    <w:rsid w:val="0059058F"/>
    <w:rsid w:val="00590E27"/>
    <w:rsid w:val="00591F96"/>
    <w:rsid w:val="005922AB"/>
    <w:rsid w:val="00593D14"/>
    <w:rsid w:val="00593DB7"/>
    <w:rsid w:val="005A3014"/>
    <w:rsid w:val="005A3034"/>
    <w:rsid w:val="005A37A9"/>
    <w:rsid w:val="005A4290"/>
    <w:rsid w:val="005A46D4"/>
    <w:rsid w:val="005A4AAC"/>
    <w:rsid w:val="005A4D1E"/>
    <w:rsid w:val="005A4F4C"/>
    <w:rsid w:val="005A7687"/>
    <w:rsid w:val="005A79F5"/>
    <w:rsid w:val="005B1570"/>
    <w:rsid w:val="005B199A"/>
    <w:rsid w:val="005B3B37"/>
    <w:rsid w:val="005B3FA5"/>
    <w:rsid w:val="005B4425"/>
    <w:rsid w:val="005B48B3"/>
    <w:rsid w:val="005B5404"/>
    <w:rsid w:val="005B585C"/>
    <w:rsid w:val="005B6A56"/>
    <w:rsid w:val="005B6CC1"/>
    <w:rsid w:val="005C04BD"/>
    <w:rsid w:val="005C1168"/>
    <w:rsid w:val="005C1917"/>
    <w:rsid w:val="005C3AB3"/>
    <w:rsid w:val="005C7CCC"/>
    <w:rsid w:val="005D00DD"/>
    <w:rsid w:val="005D0B18"/>
    <w:rsid w:val="005D1BAE"/>
    <w:rsid w:val="005D33F2"/>
    <w:rsid w:val="005D3D7E"/>
    <w:rsid w:val="005D52BF"/>
    <w:rsid w:val="005D5A45"/>
    <w:rsid w:val="005D626B"/>
    <w:rsid w:val="005D6669"/>
    <w:rsid w:val="005D6A35"/>
    <w:rsid w:val="005D6E6F"/>
    <w:rsid w:val="005D7AB0"/>
    <w:rsid w:val="005E134B"/>
    <w:rsid w:val="005E383D"/>
    <w:rsid w:val="005E4459"/>
    <w:rsid w:val="005E4C3D"/>
    <w:rsid w:val="005E53F9"/>
    <w:rsid w:val="005E60D0"/>
    <w:rsid w:val="005E71DD"/>
    <w:rsid w:val="005F04E1"/>
    <w:rsid w:val="005F05AE"/>
    <w:rsid w:val="005F14F5"/>
    <w:rsid w:val="005F2767"/>
    <w:rsid w:val="005F2E43"/>
    <w:rsid w:val="005F3422"/>
    <w:rsid w:val="005F460E"/>
    <w:rsid w:val="005F4FBF"/>
    <w:rsid w:val="005F5319"/>
    <w:rsid w:val="005F5C02"/>
    <w:rsid w:val="005F6E71"/>
    <w:rsid w:val="005F70E7"/>
    <w:rsid w:val="00600EFC"/>
    <w:rsid w:val="00601AA9"/>
    <w:rsid w:val="00602025"/>
    <w:rsid w:val="00602CDD"/>
    <w:rsid w:val="00602FFA"/>
    <w:rsid w:val="00604203"/>
    <w:rsid w:val="006072F1"/>
    <w:rsid w:val="006075DD"/>
    <w:rsid w:val="00607B92"/>
    <w:rsid w:val="00607F4A"/>
    <w:rsid w:val="00612B80"/>
    <w:rsid w:val="00614413"/>
    <w:rsid w:val="00614B3C"/>
    <w:rsid w:val="00616485"/>
    <w:rsid w:val="00621576"/>
    <w:rsid w:val="006219EA"/>
    <w:rsid w:val="00621C5E"/>
    <w:rsid w:val="006222AB"/>
    <w:rsid w:val="00622A3D"/>
    <w:rsid w:val="0062328F"/>
    <w:rsid w:val="00624AAA"/>
    <w:rsid w:val="00625DA6"/>
    <w:rsid w:val="00626319"/>
    <w:rsid w:val="006315D1"/>
    <w:rsid w:val="00631662"/>
    <w:rsid w:val="00631723"/>
    <w:rsid w:val="00632F70"/>
    <w:rsid w:val="00634CB0"/>
    <w:rsid w:val="00634E47"/>
    <w:rsid w:val="0063514B"/>
    <w:rsid w:val="006358D2"/>
    <w:rsid w:val="00635C20"/>
    <w:rsid w:val="00641471"/>
    <w:rsid w:val="00642452"/>
    <w:rsid w:val="006424EC"/>
    <w:rsid w:val="00643401"/>
    <w:rsid w:val="0064653C"/>
    <w:rsid w:val="006472D5"/>
    <w:rsid w:val="00650311"/>
    <w:rsid w:val="00650B87"/>
    <w:rsid w:val="00650D34"/>
    <w:rsid w:val="00650DF2"/>
    <w:rsid w:val="00651979"/>
    <w:rsid w:val="00651E28"/>
    <w:rsid w:val="00651EA7"/>
    <w:rsid w:val="006528E1"/>
    <w:rsid w:val="00654A5A"/>
    <w:rsid w:val="00654AFF"/>
    <w:rsid w:val="00657F2E"/>
    <w:rsid w:val="00660580"/>
    <w:rsid w:val="00660738"/>
    <w:rsid w:val="0066227B"/>
    <w:rsid w:val="00662626"/>
    <w:rsid w:val="00665114"/>
    <w:rsid w:val="006659FE"/>
    <w:rsid w:val="00667B9C"/>
    <w:rsid w:val="006707AD"/>
    <w:rsid w:val="00671560"/>
    <w:rsid w:val="00672059"/>
    <w:rsid w:val="00673098"/>
    <w:rsid w:val="00673531"/>
    <w:rsid w:val="00673FC2"/>
    <w:rsid w:val="00674E47"/>
    <w:rsid w:val="00674F3C"/>
    <w:rsid w:val="00677121"/>
    <w:rsid w:val="00682F57"/>
    <w:rsid w:val="00685EF4"/>
    <w:rsid w:val="00687AA5"/>
    <w:rsid w:val="00690400"/>
    <w:rsid w:val="006907A6"/>
    <w:rsid w:val="006910B9"/>
    <w:rsid w:val="006919E7"/>
    <w:rsid w:val="00691D22"/>
    <w:rsid w:val="00692929"/>
    <w:rsid w:val="006945CF"/>
    <w:rsid w:val="00695DF0"/>
    <w:rsid w:val="00697922"/>
    <w:rsid w:val="006A1000"/>
    <w:rsid w:val="006A18C8"/>
    <w:rsid w:val="006A29DD"/>
    <w:rsid w:val="006A2BC9"/>
    <w:rsid w:val="006A410F"/>
    <w:rsid w:val="006A626B"/>
    <w:rsid w:val="006A6ACD"/>
    <w:rsid w:val="006A6C26"/>
    <w:rsid w:val="006A6EF2"/>
    <w:rsid w:val="006A7066"/>
    <w:rsid w:val="006A79BB"/>
    <w:rsid w:val="006B47CC"/>
    <w:rsid w:val="006B5E69"/>
    <w:rsid w:val="006B6AF3"/>
    <w:rsid w:val="006C1316"/>
    <w:rsid w:val="006C16CB"/>
    <w:rsid w:val="006C3164"/>
    <w:rsid w:val="006C5090"/>
    <w:rsid w:val="006C52FC"/>
    <w:rsid w:val="006C6759"/>
    <w:rsid w:val="006C79CD"/>
    <w:rsid w:val="006C7AC6"/>
    <w:rsid w:val="006D1C42"/>
    <w:rsid w:val="006D2B66"/>
    <w:rsid w:val="006D2EC6"/>
    <w:rsid w:val="006D6C0E"/>
    <w:rsid w:val="006E0E84"/>
    <w:rsid w:val="006E1E0E"/>
    <w:rsid w:val="006E28AF"/>
    <w:rsid w:val="006E293C"/>
    <w:rsid w:val="006E36AA"/>
    <w:rsid w:val="006E3DBA"/>
    <w:rsid w:val="006E49AE"/>
    <w:rsid w:val="006E528B"/>
    <w:rsid w:val="006E6A29"/>
    <w:rsid w:val="006F0610"/>
    <w:rsid w:val="006F2C9C"/>
    <w:rsid w:val="006F2F6B"/>
    <w:rsid w:val="006F317F"/>
    <w:rsid w:val="006F32EF"/>
    <w:rsid w:val="006F45EF"/>
    <w:rsid w:val="006F4683"/>
    <w:rsid w:val="006F4925"/>
    <w:rsid w:val="006F4C21"/>
    <w:rsid w:val="006F52DC"/>
    <w:rsid w:val="006F5F7A"/>
    <w:rsid w:val="006F70CD"/>
    <w:rsid w:val="006F7A40"/>
    <w:rsid w:val="00700B40"/>
    <w:rsid w:val="007027BD"/>
    <w:rsid w:val="00702836"/>
    <w:rsid w:val="00702CCD"/>
    <w:rsid w:val="00702D95"/>
    <w:rsid w:val="007033EC"/>
    <w:rsid w:val="00705FA2"/>
    <w:rsid w:val="00706A75"/>
    <w:rsid w:val="00712644"/>
    <w:rsid w:val="00714644"/>
    <w:rsid w:val="00714F38"/>
    <w:rsid w:val="007150CB"/>
    <w:rsid w:val="007163C2"/>
    <w:rsid w:val="007164E9"/>
    <w:rsid w:val="00716A34"/>
    <w:rsid w:val="00716E72"/>
    <w:rsid w:val="007217E3"/>
    <w:rsid w:val="00721D10"/>
    <w:rsid w:val="007241AE"/>
    <w:rsid w:val="00725AAD"/>
    <w:rsid w:val="00727726"/>
    <w:rsid w:val="00730557"/>
    <w:rsid w:val="00731AB9"/>
    <w:rsid w:val="0073454F"/>
    <w:rsid w:val="00736207"/>
    <w:rsid w:val="00741265"/>
    <w:rsid w:val="007422E5"/>
    <w:rsid w:val="007438F6"/>
    <w:rsid w:val="00744069"/>
    <w:rsid w:val="00744A36"/>
    <w:rsid w:val="00744BBB"/>
    <w:rsid w:val="00745AE4"/>
    <w:rsid w:val="00745CB6"/>
    <w:rsid w:val="00747368"/>
    <w:rsid w:val="00753EA9"/>
    <w:rsid w:val="00757347"/>
    <w:rsid w:val="007576C7"/>
    <w:rsid w:val="00760960"/>
    <w:rsid w:val="007635DD"/>
    <w:rsid w:val="007640A9"/>
    <w:rsid w:val="00764FF4"/>
    <w:rsid w:val="00766761"/>
    <w:rsid w:val="00767216"/>
    <w:rsid w:val="0076733C"/>
    <w:rsid w:val="00770596"/>
    <w:rsid w:val="007705C3"/>
    <w:rsid w:val="00770C74"/>
    <w:rsid w:val="007718B1"/>
    <w:rsid w:val="0077263D"/>
    <w:rsid w:val="00773664"/>
    <w:rsid w:val="00775020"/>
    <w:rsid w:val="00775DD5"/>
    <w:rsid w:val="0077772E"/>
    <w:rsid w:val="00777CB9"/>
    <w:rsid w:val="00781EA4"/>
    <w:rsid w:val="007821C6"/>
    <w:rsid w:val="0078226D"/>
    <w:rsid w:val="007825B8"/>
    <w:rsid w:val="00783094"/>
    <w:rsid w:val="007845D7"/>
    <w:rsid w:val="00784C17"/>
    <w:rsid w:val="0078502C"/>
    <w:rsid w:val="007852A4"/>
    <w:rsid w:val="00785360"/>
    <w:rsid w:val="00785E83"/>
    <w:rsid w:val="00786119"/>
    <w:rsid w:val="00787C11"/>
    <w:rsid w:val="00787F23"/>
    <w:rsid w:val="00787F3E"/>
    <w:rsid w:val="00790102"/>
    <w:rsid w:val="00790AAF"/>
    <w:rsid w:val="007913DA"/>
    <w:rsid w:val="00791D30"/>
    <w:rsid w:val="00791D6B"/>
    <w:rsid w:val="0079262C"/>
    <w:rsid w:val="00792AA6"/>
    <w:rsid w:val="007937A4"/>
    <w:rsid w:val="0079445C"/>
    <w:rsid w:val="00794E61"/>
    <w:rsid w:val="007957BD"/>
    <w:rsid w:val="00795B29"/>
    <w:rsid w:val="007A204D"/>
    <w:rsid w:val="007A26E8"/>
    <w:rsid w:val="007A310E"/>
    <w:rsid w:val="007A3AD1"/>
    <w:rsid w:val="007A3C2A"/>
    <w:rsid w:val="007A4A87"/>
    <w:rsid w:val="007A50EA"/>
    <w:rsid w:val="007A5245"/>
    <w:rsid w:val="007A5465"/>
    <w:rsid w:val="007A563A"/>
    <w:rsid w:val="007B07F8"/>
    <w:rsid w:val="007B117B"/>
    <w:rsid w:val="007B1DC7"/>
    <w:rsid w:val="007B2739"/>
    <w:rsid w:val="007B5779"/>
    <w:rsid w:val="007B57B7"/>
    <w:rsid w:val="007B6290"/>
    <w:rsid w:val="007B6BCB"/>
    <w:rsid w:val="007C0A5D"/>
    <w:rsid w:val="007C1D55"/>
    <w:rsid w:val="007C2561"/>
    <w:rsid w:val="007C2A1B"/>
    <w:rsid w:val="007C3333"/>
    <w:rsid w:val="007C3554"/>
    <w:rsid w:val="007C3FBF"/>
    <w:rsid w:val="007C4878"/>
    <w:rsid w:val="007C55FC"/>
    <w:rsid w:val="007C729A"/>
    <w:rsid w:val="007C7553"/>
    <w:rsid w:val="007D1F6C"/>
    <w:rsid w:val="007D4DFB"/>
    <w:rsid w:val="007D5017"/>
    <w:rsid w:val="007D5993"/>
    <w:rsid w:val="007D621C"/>
    <w:rsid w:val="007D6763"/>
    <w:rsid w:val="007D6A8E"/>
    <w:rsid w:val="007D6ED7"/>
    <w:rsid w:val="007D705B"/>
    <w:rsid w:val="007E0BE6"/>
    <w:rsid w:val="007E3AE6"/>
    <w:rsid w:val="007E3CF8"/>
    <w:rsid w:val="007E4CE3"/>
    <w:rsid w:val="007E63FB"/>
    <w:rsid w:val="007E77E2"/>
    <w:rsid w:val="007E7B73"/>
    <w:rsid w:val="007F022F"/>
    <w:rsid w:val="007F09E4"/>
    <w:rsid w:val="007F109F"/>
    <w:rsid w:val="007F2446"/>
    <w:rsid w:val="007F2EA9"/>
    <w:rsid w:val="007F34DB"/>
    <w:rsid w:val="007F6B15"/>
    <w:rsid w:val="007F77C9"/>
    <w:rsid w:val="0080061B"/>
    <w:rsid w:val="00802955"/>
    <w:rsid w:val="0080392F"/>
    <w:rsid w:val="008039F0"/>
    <w:rsid w:val="00803B66"/>
    <w:rsid w:val="008049ED"/>
    <w:rsid w:val="00805BA4"/>
    <w:rsid w:val="00807BE4"/>
    <w:rsid w:val="00810E26"/>
    <w:rsid w:val="00811566"/>
    <w:rsid w:val="00811653"/>
    <w:rsid w:val="00811B9D"/>
    <w:rsid w:val="008129D9"/>
    <w:rsid w:val="00813B90"/>
    <w:rsid w:val="00813CA8"/>
    <w:rsid w:val="00814210"/>
    <w:rsid w:val="008142CD"/>
    <w:rsid w:val="008143FB"/>
    <w:rsid w:val="008144FD"/>
    <w:rsid w:val="00814AF3"/>
    <w:rsid w:val="00815BAA"/>
    <w:rsid w:val="00815DDF"/>
    <w:rsid w:val="00816079"/>
    <w:rsid w:val="008176EE"/>
    <w:rsid w:val="00820EFE"/>
    <w:rsid w:val="00822B9B"/>
    <w:rsid w:val="00822EA8"/>
    <w:rsid w:val="008233F9"/>
    <w:rsid w:val="00823BA1"/>
    <w:rsid w:val="00824D5D"/>
    <w:rsid w:val="008262EC"/>
    <w:rsid w:val="008263DA"/>
    <w:rsid w:val="00826699"/>
    <w:rsid w:val="00827786"/>
    <w:rsid w:val="00830482"/>
    <w:rsid w:val="00831B1F"/>
    <w:rsid w:val="008336A3"/>
    <w:rsid w:val="008338DD"/>
    <w:rsid w:val="008354BE"/>
    <w:rsid w:val="00836AAE"/>
    <w:rsid w:val="00836B51"/>
    <w:rsid w:val="00836CB6"/>
    <w:rsid w:val="008371E8"/>
    <w:rsid w:val="00837CF0"/>
    <w:rsid w:val="00837EBC"/>
    <w:rsid w:val="00840DD3"/>
    <w:rsid w:val="008414EA"/>
    <w:rsid w:val="0084173A"/>
    <w:rsid w:val="008444D0"/>
    <w:rsid w:val="00844B68"/>
    <w:rsid w:val="00844D76"/>
    <w:rsid w:val="008476DA"/>
    <w:rsid w:val="00851232"/>
    <w:rsid w:val="00851AC3"/>
    <w:rsid w:val="008520D6"/>
    <w:rsid w:val="00852BDE"/>
    <w:rsid w:val="00852E81"/>
    <w:rsid w:val="00855C7E"/>
    <w:rsid w:val="00855E21"/>
    <w:rsid w:val="0085712C"/>
    <w:rsid w:val="00861DA2"/>
    <w:rsid w:val="00862639"/>
    <w:rsid w:val="008633A9"/>
    <w:rsid w:val="00863B12"/>
    <w:rsid w:val="00863DF6"/>
    <w:rsid w:val="00864226"/>
    <w:rsid w:val="0086548A"/>
    <w:rsid w:val="00866123"/>
    <w:rsid w:val="00866CA7"/>
    <w:rsid w:val="0086779E"/>
    <w:rsid w:val="00870428"/>
    <w:rsid w:val="00870936"/>
    <w:rsid w:val="00870AC2"/>
    <w:rsid w:val="00871675"/>
    <w:rsid w:val="00873295"/>
    <w:rsid w:val="0087351A"/>
    <w:rsid w:val="008738C6"/>
    <w:rsid w:val="00875047"/>
    <w:rsid w:val="00875EC2"/>
    <w:rsid w:val="00876C23"/>
    <w:rsid w:val="00877842"/>
    <w:rsid w:val="008812D0"/>
    <w:rsid w:val="00881B12"/>
    <w:rsid w:val="00882A24"/>
    <w:rsid w:val="00882F6A"/>
    <w:rsid w:val="00884103"/>
    <w:rsid w:val="008850FC"/>
    <w:rsid w:val="0088557D"/>
    <w:rsid w:val="00886461"/>
    <w:rsid w:val="0089126A"/>
    <w:rsid w:val="008948FE"/>
    <w:rsid w:val="00894E0A"/>
    <w:rsid w:val="00895486"/>
    <w:rsid w:val="00897D8C"/>
    <w:rsid w:val="008A0ECF"/>
    <w:rsid w:val="008A2A89"/>
    <w:rsid w:val="008A2F59"/>
    <w:rsid w:val="008A30AF"/>
    <w:rsid w:val="008A4A85"/>
    <w:rsid w:val="008A4D04"/>
    <w:rsid w:val="008A4F81"/>
    <w:rsid w:val="008A5292"/>
    <w:rsid w:val="008A6D50"/>
    <w:rsid w:val="008A71BA"/>
    <w:rsid w:val="008B2AE6"/>
    <w:rsid w:val="008B3BB9"/>
    <w:rsid w:val="008B4BEC"/>
    <w:rsid w:val="008B575E"/>
    <w:rsid w:val="008B6F51"/>
    <w:rsid w:val="008B7FEF"/>
    <w:rsid w:val="008C1ABD"/>
    <w:rsid w:val="008C1E13"/>
    <w:rsid w:val="008C652E"/>
    <w:rsid w:val="008C7361"/>
    <w:rsid w:val="008D0D00"/>
    <w:rsid w:val="008D597C"/>
    <w:rsid w:val="008D64A8"/>
    <w:rsid w:val="008E01FE"/>
    <w:rsid w:val="008E047F"/>
    <w:rsid w:val="008E2170"/>
    <w:rsid w:val="008E230F"/>
    <w:rsid w:val="008E2352"/>
    <w:rsid w:val="008E3149"/>
    <w:rsid w:val="008E347E"/>
    <w:rsid w:val="008E3E3E"/>
    <w:rsid w:val="008E4A21"/>
    <w:rsid w:val="008E589D"/>
    <w:rsid w:val="008E62DF"/>
    <w:rsid w:val="008E6809"/>
    <w:rsid w:val="008E7107"/>
    <w:rsid w:val="008E75EE"/>
    <w:rsid w:val="008F12DA"/>
    <w:rsid w:val="008F1E3E"/>
    <w:rsid w:val="008F2FE2"/>
    <w:rsid w:val="008F3E39"/>
    <w:rsid w:val="008F4084"/>
    <w:rsid w:val="008F7DD4"/>
    <w:rsid w:val="009007B4"/>
    <w:rsid w:val="00900A6E"/>
    <w:rsid w:val="00900F5C"/>
    <w:rsid w:val="00900F93"/>
    <w:rsid w:val="00902326"/>
    <w:rsid w:val="00903D2A"/>
    <w:rsid w:val="009060FA"/>
    <w:rsid w:val="009066AC"/>
    <w:rsid w:val="00906868"/>
    <w:rsid w:val="00906BDD"/>
    <w:rsid w:val="00910209"/>
    <w:rsid w:val="0091031A"/>
    <w:rsid w:val="00912FF8"/>
    <w:rsid w:val="00914566"/>
    <w:rsid w:val="0091468F"/>
    <w:rsid w:val="0091606C"/>
    <w:rsid w:val="00916239"/>
    <w:rsid w:val="00916788"/>
    <w:rsid w:val="00916F84"/>
    <w:rsid w:val="00916FA0"/>
    <w:rsid w:val="00917367"/>
    <w:rsid w:val="009202D8"/>
    <w:rsid w:val="00920A1B"/>
    <w:rsid w:val="0092209A"/>
    <w:rsid w:val="00922664"/>
    <w:rsid w:val="0092472C"/>
    <w:rsid w:val="009272E7"/>
    <w:rsid w:val="00931522"/>
    <w:rsid w:val="009340F3"/>
    <w:rsid w:val="00935786"/>
    <w:rsid w:val="009363B0"/>
    <w:rsid w:val="00936EB0"/>
    <w:rsid w:val="0093749B"/>
    <w:rsid w:val="00937A40"/>
    <w:rsid w:val="0094394C"/>
    <w:rsid w:val="00944D99"/>
    <w:rsid w:val="009459CE"/>
    <w:rsid w:val="00946316"/>
    <w:rsid w:val="009466FC"/>
    <w:rsid w:val="009472EE"/>
    <w:rsid w:val="00951A6D"/>
    <w:rsid w:val="009536A6"/>
    <w:rsid w:val="00953B06"/>
    <w:rsid w:val="00953CBB"/>
    <w:rsid w:val="00953E64"/>
    <w:rsid w:val="009544BC"/>
    <w:rsid w:val="009554C8"/>
    <w:rsid w:val="009562B8"/>
    <w:rsid w:val="009564A8"/>
    <w:rsid w:val="00956983"/>
    <w:rsid w:val="009577C8"/>
    <w:rsid w:val="0096059B"/>
    <w:rsid w:val="00960902"/>
    <w:rsid w:val="0096193D"/>
    <w:rsid w:val="00961CE6"/>
    <w:rsid w:val="00961E6C"/>
    <w:rsid w:val="00962103"/>
    <w:rsid w:val="00963B95"/>
    <w:rsid w:val="009641C7"/>
    <w:rsid w:val="009649EB"/>
    <w:rsid w:val="009652D6"/>
    <w:rsid w:val="00966E30"/>
    <w:rsid w:val="0096730C"/>
    <w:rsid w:val="00970BB9"/>
    <w:rsid w:val="00972650"/>
    <w:rsid w:val="00973691"/>
    <w:rsid w:val="00973C10"/>
    <w:rsid w:val="00975FA7"/>
    <w:rsid w:val="0097761A"/>
    <w:rsid w:val="009777C9"/>
    <w:rsid w:val="0098043F"/>
    <w:rsid w:val="00980998"/>
    <w:rsid w:val="00980F63"/>
    <w:rsid w:val="00981485"/>
    <w:rsid w:val="00981522"/>
    <w:rsid w:val="0098158E"/>
    <w:rsid w:val="00983D44"/>
    <w:rsid w:val="00984412"/>
    <w:rsid w:val="00986DD8"/>
    <w:rsid w:val="00987475"/>
    <w:rsid w:val="009874A0"/>
    <w:rsid w:val="00991606"/>
    <w:rsid w:val="00992135"/>
    <w:rsid w:val="00993137"/>
    <w:rsid w:val="009943C0"/>
    <w:rsid w:val="00994B7D"/>
    <w:rsid w:val="00995C93"/>
    <w:rsid w:val="0099652B"/>
    <w:rsid w:val="00997171"/>
    <w:rsid w:val="00997F62"/>
    <w:rsid w:val="00997FD9"/>
    <w:rsid w:val="009A090E"/>
    <w:rsid w:val="009A17AE"/>
    <w:rsid w:val="009A2F78"/>
    <w:rsid w:val="009A5A0D"/>
    <w:rsid w:val="009A5EE5"/>
    <w:rsid w:val="009A6468"/>
    <w:rsid w:val="009A6491"/>
    <w:rsid w:val="009A6B2D"/>
    <w:rsid w:val="009A73AE"/>
    <w:rsid w:val="009A7C98"/>
    <w:rsid w:val="009B0023"/>
    <w:rsid w:val="009B0E2B"/>
    <w:rsid w:val="009B10E8"/>
    <w:rsid w:val="009B2D6D"/>
    <w:rsid w:val="009B2F60"/>
    <w:rsid w:val="009B3269"/>
    <w:rsid w:val="009B3A5C"/>
    <w:rsid w:val="009B42D7"/>
    <w:rsid w:val="009B5905"/>
    <w:rsid w:val="009B70C0"/>
    <w:rsid w:val="009C0B52"/>
    <w:rsid w:val="009C0FDE"/>
    <w:rsid w:val="009C147A"/>
    <w:rsid w:val="009C15E1"/>
    <w:rsid w:val="009C2966"/>
    <w:rsid w:val="009C3855"/>
    <w:rsid w:val="009C4088"/>
    <w:rsid w:val="009C4222"/>
    <w:rsid w:val="009C4223"/>
    <w:rsid w:val="009C5A9B"/>
    <w:rsid w:val="009C5B78"/>
    <w:rsid w:val="009C6784"/>
    <w:rsid w:val="009C6C05"/>
    <w:rsid w:val="009D1C2D"/>
    <w:rsid w:val="009D30EF"/>
    <w:rsid w:val="009D498E"/>
    <w:rsid w:val="009D5372"/>
    <w:rsid w:val="009D603A"/>
    <w:rsid w:val="009E0F1B"/>
    <w:rsid w:val="009E2870"/>
    <w:rsid w:val="009E4039"/>
    <w:rsid w:val="009E48D9"/>
    <w:rsid w:val="009E5746"/>
    <w:rsid w:val="009E5B70"/>
    <w:rsid w:val="009E65CE"/>
    <w:rsid w:val="009E6E16"/>
    <w:rsid w:val="009E7660"/>
    <w:rsid w:val="009F0EEE"/>
    <w:rsid w:val="009F2C88"/>
    <w:rsid w:val="009F2D8A"/>
    <w:rsid w:val="009F65DC"/>
    <w:rsid w:val="009F75C0"/>
    <w:rsid w:val="009F7708"/>
    <w:rsid w:val="009F7C53"/>
    <w:rsid w:val="00A0047F"/>
    <w:rsid w:val="00A02361"/>
    <w:rsid w:val="00A03B5F"/>
    <w:rsid w:val="00A043EF"/>
    <w:rsid w:val="00A04F2C"/>
    <w:rsid w:val="00A04FBB"/>
    <w:rsid w:val="00A057F3"/>
    <w:rsid w:val="00A06980"/>
    <w:rsid w:val="00A0791C"/>
    <w:rsid w:val="00A1135E"/>
    <w:rsid w:val="00A11BF0"/>
    <w:rsid w:val="00A1239B"/>
    <w:rsid w:val="00A12A3E"/>
    <w:rsid w:val="00A140B4"/>
    <w:rsid w:val="00A14A9D"/>
    <w:rsid w:val="00A15311"/>
    <w:rsid w:val="00A15AA0"/>
    <w:rsid w:val="00A16160"/>
    <w:rsid w:val="00A168B1"/>
    <w:rsid w:val="00A169EC"/>
    <w:rsid w:val="00A22886"/>
    <w:rsid w:val="00A24E1C"/>
    <w:rsid w:val="00A25484"/>
    <w:rsid w:val="00A270C7"/>
    <w:rsid w:val="00A27200"/>
    <w:rsid w:val="00A27D4C"/>
    <w:rsid w:val="00A3052E"/>
    <w:rsid w:val="00A30DC0"/>
    <w:rsid w:val="00A3160B"/>
    <w:rsid w:val="00A34BBF"/>
    <w:rsid w:val="00A34E97"/>
    <w:rsid w:val="00A35109"/>
    <w:rsid w:val="00A35212"/>
    <w:rsid w:val="00A35E93"/>
    <w:rsid w:val="00A37A4D"/>
    <w:rsid w:val="00A4012A"/>
    <w:rsid w:val="00A403F6"/>
    <w:rsid w:val="00A43B98"/>
    <w:rsid w:val="00A450C7"/>
    <w:rsid w:val="00A458C5"/>
    <w:rsid w:val="00A45C03"/>
    <w:rsid w:val="00A46249"/>
    <w:rsid w:val="00A46C13"/>
    <w:rsid w:val="00A47068"/>
    <w:rsid w:val="00A47B98"/>
    <w:rsid w:val="00A50084"/>
    <w:rsid w:val="00A50242"/>
    <w:rsid w:val="00A513AB"/>
    <w:rsid w:val="00A5163E"/>
    <w:rsid w:val="00A551E3"/>
    <w:rsid w:val="00A552A0"/>
    <w:rsid w:val="00A55B4D"/>
    <w:rsid w:val="00A5634B"/>
    <w:rsid w:val="00A5668A"/>
    <w:rsid w:val="00A6045E"/>
    <w:rsid w:val="00A625A1"/>
    <w:rsid w:val="00A62AD8"/>
    <w:rsid w:val="00A62E2C"/>
    <w:rsid w:val="00A63D05"/>
    <w:rsid w:val="00A6490D"/>
    <w:rsid w:val="00A64BA1"/>
    <w:rsid w:val="00A650C2"/>
    <w:rsid w:val="00A65691"/>
    <w:rsid w:val="00A65B47"/>
    <w:rsid w:val="00A65CA6"/>
    <w:rsid w:val="00A65DAC"/>
    <w:rsid w:val="00A66EB0"/>
    <w:rsid w:val="00A70C14"/>
    <w:rsid w:val="00A712D2"/>
    <w:rsid w:val="00A72BF9"/>
    <w:rsid w:val="00A74B7E"/>
    <w:rsid w:val="00A74E89"/>
    <w:rsid w:val="00A8075B"/>
    <w:rsid w:val="00A817D7"/>
    <w:rsid w:val="00A818E7"/>
    <w:rsid w:val="00A81CC3"/>
    <w:rsid w:val="00A81CC4"/>
    <w:rsid w:val="00A81DF1"/>
    <w:rsid w:val="00A8265B"/>
    <w:rsid w:val="00A82C8C"/>
    <w:rsid w:val="00A83338"/>
    <w:rsid w:val="00A83CD5"/>
    <w:rsid w:val="00A84362"/>
    <w:rsid w:val="00A84BDC"/>
    <w:rsid w:val="00A87472"/>
    <w:rsid w:val="00A905E5"/>
    <w:rsid w:val="00A91192"/>
    <w:rsid w:val="00A91C7E"/>
    <w:rsid w:val="00A92239"/>
    <w:rsid w:val="00A937B6"/>
    <w:rsid w:val="00A9566D"/>
    <w:rsid w:val="00A96E86"/>
    <w:rsid w:val="00A9787A"/>
    <w:rsid w:val="00AA02E4"/>
    <w:rsid w:val="00AA11EB"/>
    <w:rsid w:val="00AA1D96"/>
    <w:rsid w:val="00AA1E0B"/>
    <w:rsid w:val="00AA22DC"/>
    <w:rsid w:val="00AA243B"/>
    <w:rsid w:val="00AA350A"/>
    <w:rsid w:val="00AA5114"/>
    <w:rsid w:val="00AA514C"/>
    <w:rsid w:val="00AA584C"/>
    <w:rsid w:val="00AA5F1D"/>
    <w:rsid w:val="00AB2B52"/>
    <w:rsid w:val="00AB4CC9"/>
    <w:rsid w:val="00AB7FAF"/>
    <w:rsid w:val="00AC01B1"/>
    <w:rsid w:val="00AC1FD3"/>
    <w:rsid w:val="00AC2F3A"/>
    <w:rsid w:val="00AC364E"/>
    <w:rsid w:val="00AC3BED"/>
    <w:rsid w:val="00AC42F6"/>
    <w:rsid w:val="00AC509C"/>
    <w:rsid w:val="00AC5A32"/>
    <w:rsid w:val="00AC5C1F"/>
    <w:rsid w:val="00AC670F"/>
    <w:rsid w:val="00AC751B"/>
    <w:rsid w:val="00AD06AA"/>
    <w:rsid w:val="00AD0E70"/>
    <w:rsid w:val="00AD1351"/>
    <w:rsid w:val="00AD46C3"/>
    <w:rsid w:val="00AD4BDA"/>
    <w:rsid w:val="00AD5076"/>
    <w:rsid w:val="00AD617D"/>
    <w:rsid w:val="00AD6A62"/>
    <w:rsid w:val="00AD70A6"/>
    <w:rsid w:val="00AE059A"/>
    <w:rsid w:val="00AE17B6"/>
    <w:rsid w:val="00AE41B4"/>
    <w:rsid w:val="00AE493E"/>
    <w:rsid w:val="00AE5392"/>
    <w:rsid w:val="00AE5B23"/>
    <w:rsid w:val="00AE5D8B"/>
    <w:rsid w:val="00AE5E70"/>
    <w:rsid w:val="00AE7982"/>
    <w:rsid w:val="00AF00DE"/>
    <w:rsid w:val="00AF0796"/>
    <w:rsid w:val="00AF0984"/>
    <w:rsid w:val="00AF22F9"/>
    <w:rsid w:val="00AF2C26"/>
    <w:rsid w:val="00AF43A6"/>
    <w:rsid w:val="00AF4A69"/>
    <w:rsid w:val="00AF615D"/>
    <w:rsid w:val="00AF6DBD"/>
    <w:rsid w:val="00AF762F"/>
    <w:rsid w:val="00B005E6"/>
    <w:rsid w:val="00B01B7B"/>
    <w:rsid w:val="00B02491"/>
    <w:rsid w:val="00B04AA5"/>
    <w:rsid w:val="00B05CD3"/>
    <w:rsid w:val="00B06772"/>
    <w:rsid w:val="00B07513"/>
    <w:rsid w:val="00B078FC"/>
    <w:rsid w:val="00B07995"/>
    <w:rsid w:val="00B07F21"/>
    <w:rsid w:val="00B10848"/>
    <w:rsid w:val="00B12B86"/>
    <w:rsid w:val="00B12BA2"/>
    <w:rsid w:val="00B14553"/>
    <w:rsid w:val="00B14B0C"/>
    <w:rsid w:val="00B15437"/>
    <w:rsid w:val="00B159AB"/>
    <w:rsid w:val="00B15D01"/>
    <w:rsid w:val="00B16BD7"/>
    <w:rsid w:val="00B16F5E"/>
    <w:rsid w:val="00B1711D"/>
    <w:rsid w:val="00B21368"/>
    <w:rsid w:val="00B216AD"/>
    <w:rsid w:val="00B217E0"/>
    <w:rsid w:val="00B226D8"/>
    <w:rsid w:val="00B23406"/>
    <w:rsid w:val="00B23CA8"/>
    <w:rsid w:val="00B25079"/>
    <w:rsid w:val="00B25109"/>
    <w:rsid w:val="00B26685"/>
    <w:rsid w:val="00B32626"/>
    <w:rsid w:val="00B334D4"/>
    <w:rsid w:val="00B355BF"/>
    <w:rsid w:val="00B3574C"/>
    <w:rsid w:val="00B35FEB"/>
    <w:rsid w:val="00B36C43"/>
    <w:rsid w:val="00B36C50"/>
    <w:rsid w:val="00B37FE8"/>
    <w:rsid w:val="00B40493"/>
    <w:rsid w:val="00B41EE8"/>
    <w:rsid w:val="00B42107"/>
    <w:rsid w:val="00B42A12"/>
    <w:rsid w:val="00B42DA4"/>
    <w:rsid w:val="00B4369B"/>
    <w:rsid w:val="00B44FF1"/>
    <w:rsid w:val="00B45F56"/>
    <w:rsid w:val="00B466CB"/>
    <w:rsid w:val="00B46881"/>
    <w:rsid w:val="00B501C5"/>
    <w:rsid w:val="00B50C9B"/>
    <w:rsid w:val="00B54D75"/>
    <w:rsid w:val="00B55169"/>
    <w:rsid w:val="00B564C3"/>
    <w:rsid w:val="00B56942"/>
    <w:rsid w:val="00B57CBE"/>
    <w:rsid w:val="00B60083"/>
    <w:rsid w:val="00B611C0"/>
    <w:rsid w:val="00B62788"/>
    <w:rsid w:val="00B62E7B"/>
    <w:rsid w:val="00B636D9"/>
    <w:rsid w:val="00B6390B"/>
    <w:rsid w:val="00B644E2"/>
    <w:rsid w:val="00B65402"/>
    <w:rsid w:val="00B67F49"/>
    <w:rsid w:val="00B707EC"/>
    <w:rsid w:val="00B708C2"/>
    <w:rsid w:val="00B70BA7"/>
    <w:rsid w:val="00B714C2"/>
    <w:rsid w:val="00B73307"/>
    <w:rsid w:val="00B737AF"/>
    <w:rsid w:val="00B751D0"/>
    <w:rsid w:val="00B761EF"/>
    <w:rsid w:val="00B76728"/>
    <w:rsid w:val="00B76B56"/>
    <w:rsid w:val="00B83ED3"/>
    <w:rsid w:val="00B8631B"/>
    <w:rsid w:val="00B87310"/>
    <w:rsid w:val="00B90983"/>
    <w:rsid w:val="00B91162"/>
    <w:rsid w:val="00B935B2"/>
    <w:rsid w:val="00B94C1A"/>
    <w:rsid w:val="00B94FBD"/>
    <w:rsid w:val="00B95D85"/>
    <w:rsid w:val="00B97C59"/>
    <w:rsid w:val="00BA0370"/>
    <w:rsid w:val="00BA385A"/>
    <w:rsid w:val="00BA48E3"/>
    <w:rsid w:val="00BA5E22"/>
    <w:rsid w:val="00BA638C"/>
    <w:rsid w:val="00BA6F0D"/>
    <w:rsid w:val="00BA723A"/>
    <w:rsid w:val="00BA75AC"/>
    <w:rsid w:val="00BB0914"/>
    <w:rsid w:val="00BB0A8A"/>
    <w:rsid w:val="00BB0F81"/>
    <w:rsid w:val="00BB2811"/>
    <w:rsid w:val="00BB2CC2"/>
    <w:rsid w:val="00BB3370"/>
    <w:rsid w:val="00BB4C0B"/>
    <w:rsid w:val="00BB4CE6"/>
    <w:rsid w:val="00BB4FF1"/>
    <w:rsid w:val="00BB5742"/>
    <w:rsid w:val="00BB6979"/>
    <w:rsid w:val="00BB704C"/>
    <w:rsid w:val="00BC09BC"/>
    <w:rsid w:val="00BC1998"/>
    <w:rsid w:val="00BC2245"/>
    <w:rsid w:val="00BC293E"/>
    <w:rsid w:val="00BC364B"/>
    <w:rsid w:val="00BC39D9"/>
    <w:rsid w:val="00BC46F1"/>
    <w:rsid w:val="00BC4D34"/>
    <w:rsid w:val="00BC52FA"/>
    <w:rsid w:val="00BC536A"/>
    <w:rsid w:val="00BD0DD1"/>
    <w:rsid w:val="00BD1C04"/>
    <w:rsid w:val="00BD31B2"/>
    <w:rsid w:val="00BD37CF"/>
    <w:rsid w:val="00BD4658"/>
    <w:rsid w:val="00BD5199"/>
    <w:rsid w:val="00BD5414"/>
    <w:rsid w:val="00BD5F2A"/>
    <w:rsid w:val="00BD6CFD"/>
    <w:rsid w:val="00BD7753"/>
    <w:rsid w:val="00BE02D0"/>
    <w:rsid w:val="00BE0BD2"/>
    <w:rsid w:val="00BE12B7"/>
    <w:rsid w:val="00BE32FE"/>
    <w:rsid w:val="00BE3E13"/>
    <w:rsid w:val="00BE5B63"/>
    <w:rsid w:val="00BE749F"/>
    <w:rsid w:val="00BE78BD"/>
    <w:rsid w:val="00BF0779"/>
    <w:rsid w:val="00BF2319"/>
    <w:rsid w:val="00BF24E2"/>
    <w:rsid w:val="00BF346C"/>
    <w:rsid w:val="00BF36EE"/>
    <w:rsid w:val="00BF3D26"/>
    <w:rsid w:val="00BF4FBC"/>
    <w:rsid w:val="00BF533E"/>
    <w:rsid w:val="00BF6E0E"/>
    <w:rsid w:val="00BF6E78"/>
    <w:rsid w:val="00BF6EA1"/>
    <w:rsid w:val="00C0079A"/>
    <w:rsid w:val="00C00E6A"/>
    <w:rsid w:val="00C0151C"/>
    <w:rsid w:val="00C023D7"/>
    <w:rsid w:val="00C029E2"/>
    <w:rsid w:val="00C02B21"/>
    <w:rsid w:val="00C02BF1"/>
    <w:rsid w:val="00C05400"/>
    <w:rsid w:val="00C065B1"/>
    <w:rsid w:val="00C0678E"/>
    <w:rsid w:val="00C07C96"/>
    <w:rsid w:val="00C10F9F"/>
    <w:rsid w:val="00C12A9C"/>
    <w:rsid w:val="00C12F52"/>
    <w:rsid w:val="00C13748"/>
    <w:rsid w:val="00C138BD"/>
    <w:rsid w:val="00C139D4"/>
    <w:rsid w:val="00C14052"/>
    <w:rsid w:val="00C15295"/>
    <w:rsid w:val="00C15DD7"/>
    <w:rsid w:val="00C1704D"/>
    <w:rsid w:val="00C17B97"/>
    <w:rsid w:val="00C205F7"/>
    <w:rsid w:val="00C209AF"/>
    <w:rsid w:val="00C2100D"/>
    <w:rsid w:val="00C257AE"/>
    <w:rsid w:val="00C25ABF"/>
    <w:rsid w:val="00C3128A"/>
    <w:rsid w:val="00C32242"/>
    <w:rsid w:val="00C32F56"/>
    <w:rsid w:val="00C341BC"/>
    <w:rsid w:val="00C34823"/>
    <w:rsid w:val="00C34FB9"/>
    <w:rsid w:val="00C36033"/>
    <w:rsid w:val="00C363B9"/>
    <w:rsid w:val="00C37B10"/>
    <w:rsid w:val="00C40D25"/>
    <w:rsid w:val="00C428BC"/>
    <w:rsid w:val="00C42CA8"/>
    <w:rsid w:val="00C44F6A"/>
    <w:rsid w:val="00C46DA0"/>
    <w:rsid w:val="00C502E0"/>
    <w:rsid w:val="00C52982"/>
    <w:rsid w:val="00C52B15"/>
    <w:rsid w:val="00C53055"/>
    <w:rsid w:val="00C550D3"/>
    <w:rsid w:val="00C55114"/>
    <w:rsid w:val="00C5709C"/>
    <w:rsid w:val="00C571CD"/>
    <w:rsid w:val="00C575CB"/>
    <w:rsid w:val="00C60F91"/>
    <w:rsid w:val="00C6180D"/>
    <w:rsid w:val="00C62699"/>
    <w:rsid w:val="00C63362"/>
    <w:rsid w:val="00C65D5B"/>
    <w:rsid w:val="00C6690E"/>
    <w:rsid w:val="00C67F29"/>
    <w:rsid w:val="00C72C3B"/>
    <w:rsid w:val="00C73AF8"/>
    <w:rsid w:val="00C74CA4"/>
    <w:rsid w:val="00C7699D"/>
    <w:rsid w:val="00C771AC"/>
    <w:rsid w:val="00C802B5"/>
    <w:rsid w:val="00C8098C"/>
    <w:rsid w:val="00C8233A"/>
    <w:rsid w:val="00C82729"/>
    <w:rsid w:val="00C82C7F"/>
    <w:rsid w:val="00C82D8C"/>
    <w:rsid w:val="00C8526E"/>
    <w:rsid w:val="00C852DD"/>
    <w:rsid w:val="00C8552B"/>
    <w:rsid w:val="00C85AE4"/>
    <w:rsid w:val="00C85BFF"/>
    <w:rsid w:val="00C879C2"/>
    <w:rsid w:val="00C87DAC"/>
    <w:rsid w:val="00C90607"/>
    <w:rsid w:val="00C909D1"/>
    <w:rsid w:val="00C90DED"/>
    <w:rsid w:val="00C9174B"/>
    <w:rsid w:val="00C92BFF"/>
    <w:rsid w:val="00C9320B"/>
    <w:rsid w:val="00C93CF9"/>
    <w:rsid w:val="00C9533D"/>
    <w:rsid w:val="00C966DE"/>
    <w:rsid w:val="00C9694D"/>
    <w:rsid w:val="00C974E4"/>
    <w:rsid w:val="00CA0C3C"/>
    <w:rsid w:val="00CA1290"/>
    <w:rsid w:val="00CA302E"/>
    <w:rsid w:val="00CA3DCC"/>
    <w:rsid w:val="00CA4CB0"/>
    <w:rsid w:val="00CA52DE"/>
    <w:rsid w:val="00CA6CD1"/>
    <w:rsid w:val="00CB3E90"/>
    <w:rsid w:val="00CB5539"/>
    <w:rsid w:val="00CB5FDC"/>
    <w:rsid w:val="00CB615D"/>
    <w:rsid w:val="00CB743B"/>
    <w:rsid w:val="00CC1555"/>
    <w:rsid w:val="00CC21C9"/>
    <w:rsid w:val="00CC4A53"/>
    <w:rsid w:val="00CC4DFA"/>
    <w:rsid w:val="00CC53A0"/>
    <w:rsid w:val="00CC6870"/>
    <w:rsid w:val="00CC6F5D"/>
    <w:rsid w:val="00CC76DF"/>
    <w:rsid w:val="00CC77F2"/>
    <w:rsid w:val="00CC7EA6"/>
    <w:rsid w:val="00CD1070"/>
    <w:rsid w:val="00CD107D"/>
    <w:rsid w:val="00CD2ED3"/>
    <w:rsid w:val="00CD3033"/>
    <w:rsid w:val="00CD4A87"/>
    <w:rsid w:val="00CD5F51"/>
    <w:rsid w:val="00CD6350"/>
    <w:rsid w:val="00CD64F7"/>
    <w:rsid w:val="00CD6784"/>
    <w:rsid w:val="00CD71F8"/>
    <w:rsid w:val="00CD7B7B"/>
    <w:rsid w:val="00CE0605"/>
    <w:rsid w:val="00CE1B30"/>
    <w:rsid w:val="00CE250E"/>
    <w:rsid w:val="00CE2C82"/>
    <w:rsid w:val="00CE3E66"/>
    <w:rsid w:val="00CE3FBF"/>
    <w:rsid w:val="00CE429A"/>
    <w:rsid w:val="00CE430F"/>
    <w:rsid w:val="00CE4516"/>
    <w:rsid w:val="00CE62C2"/>
    <w:rsid w:val="00CE7A31"/>
    <w:rsid w:val="00CE7B73"/>
    <w:rsid w:val="00CF138E"/>
    <w:rsid w:val="00CF22B3"/>
    <w:rsid w:val="00CF3231"/>
    <w:rsid w:val="00CF48C5"/>
    <w:rsid w:val="00CF58A4"/>
    <w:rsid w:val="00CF6322"/>
    <w:rsid w:val="00CF75EF"/>
    <w:rsid w:val="00CF761C"/>
    <w:rsid w:val="00D000CE"/>
    <w:rsid w:val="00D013A2"/>
    <w:rsid w:val="00D0176D"/>
    <w:rsid w:val="00D01848"/>
    <w:rsid w:val="00D032A5"/>
    <w:rsid w:val="00D03877"/>
    <w:rsid w:val="00D03B81"/>
    <w:rsid w:val="00D04B19"/>
    <w:rsid w:val="00D05151"/>
    <w:rsid w:val="00D06BFA"/>
    <w:rsid w:val="00D06EE9"/>
    <w:rsid w:val="00D07C61"/>
    <w:rsid w:val="00D1084B"/>
    <w:rsid w:val="00D13110"/>
    <w:rsid w:val="00D13157"/>
    <w:rsid w:val="00D13417"/>
    <w:rsid w:val="00D14EDD"/>
    <w:rsid w:val="00D1536B"/>
    <w:rsid w:val="00D1555C"/>
    <w:rsid w:val="00D16208"/>
    <w:rsid w:val="00D162D6"/>
    <w:rsid w:val="00D177EE"/>
    <w:rsid w:val="00D17C16"/>
    <w:rsid w:val="00D20115"/>
    <w:rsid w:val="00D21028"/>
    <w:rsid w:val="00D221A6"/>
    <w:rsid w:val="00D23B70"/>
    <w:rsid w:val="00D23F41"/>
    <w:rsid w:val="00D30E38"/>
    <w:rsid w:val="00D328E5"/>
    <w:rsid w:val="00D32A74"/>
    <w:rsid w:val="00D3364E"/>
    <w:rsid w:val="00D348C0"/>
    <w:rsid w:val="00D369BE"/>
    <w:rsid w:val="00D3742B"/>
    <w:rsid w:val="00D379FC"/>
    <w:rsid w:val="00D42A70"/>
    <w:rsid w:val="00D44E4D"/>
    <w:rsid w:val="00D45BCA"/>
    <w:rsid w:val="00D46DA3"/>
    <w:rsid w:val="00D46F0E"/>
    <w:rsid w:val="00D509B9"/>
    <w:rsid w:val="00D51AAA"/>
    <w:rsid w:val="00D51D53"/>
    <w:rsid w:val="00D52D87"/>
    <w:rsid w:val="00D537E2"/>
    <w:rsid w:val="00D54171"/>
    <w:rsid w:val="00D54838"/>
    <w:rsid w:val="00D569DF"/>
    <w:rsid w:val="00D60EE3"/>
    <w:rsid w:val="00D62AEE"/>
    <w:rsid w:val="00D63A53"/>
    <w:rsid w:val="00D64408"/>
    <w:rsid w:val="00D651D8"/>
    <w:rsid w:val="00D657B7"/>
    <w:rsid w:val="00D66013"/>
    <w:rsid w:val="00D6734E"/>
    <w:rsid w:val="00D70AA5"/>
    <w:rsid w:val="00D70B17"/>
    <w:rsid w:val="00D71E49"/>
    <w:rsid w:val="00D733B0"/>
    <w:rsid w:val="00D74EF2"/>
    <w:rsid w:val="00D76561"/>
    <w:rsid w:val="00D81966"/>
    <w:rsid w:val="00D8409F"/>
    <w:rsid w:val="00D8511C"/>
    <w:rsid w:val="00D853F0"/>
    <w:rsid w:val="00D85705"/>
    <w:rsid w:val="00D863CF"/>
    <w:rsid w:val="00D86F17"/>
    <w:rsid w:val="00D87FCD"/>
    <w:rsid w:val="00D90951"/>
    <w:rsid w:val="00D91928"/>
    <w:rsid w:val="00D93585"/>
    <w:rsid w:val="00D94646"/>
    <w:rsid w:val="00D9571F"/>
    <w:rsid w:val="00D9628E"/>
    <w:rsid w:val="00DA0023"/>
    <w:rsid w:val="00DA0F28"/>
    <w:rsid w:val="00DA2AD8"/>
    <w:rsid w:val="00DA2F67"/>
    <w:rsid w:val="00DA3CCC"/>
    <w:rsid w:val="00DA4528"/>
    <w:rsid w:val="00DA65DD"/>
    <w:rsid w:val="00DB0D5C"/>
    <w:rsid w:val="00DB2BED"/>
    <w:rsid w:val="00DB318E"/>
    <w:rsid w:val="00DB578E"/>
    <w:rsid w:val="00DB696F"/>
    <w:rsid w:val="00DB7231"/>
    <w:rsid w:val="00DC0425"/>
    <w:rsid w:val="00DC0E88"/>
    <w:rsid w:val="00DC1741"/>
    <w:rsid w:val="00DC2860"/>
    <w:rsid w:val="00DC4B60"/>
    <w:rsid w:val="00DC5207"/>
    <w:rsid w:val="00DC55D9"/>
    <w:rsid w:val="00DD0231"/>
    <w:rsid w:val="00DD141B"/>
    <w:rsid w:val="00DD14B5"/>
    <w:rsid w:val="00DD1D5F"/>
    <w:rsid w:val="00DD3507"/>
    <w:rsid w:val="00DD3948"/>
    <w:rsid w:val="00DD5545"/>
    <w:rsid w:val="00DD7635"/>
    <w:rsid w:val="00DD7D3B"/>
    <w:rsid w:val="00DE1F30"/>
    <w:rsid w:val="00DE5328"/>
    <w:rsid w:val="00DE79B4"/>
    <w:rsid w:val="00DE7F78"/>
    <w:rsid w:val="00DF0DD9"/>
    <w:rsid w:val="00DF13D2"/>
    <w:rsid w:val="00DF329B"/>
    <w:rsid w:val="00DF40E7"/>
    <w:rsid w:val="00DF4348"/>
    <w:rsid w:val="00DF638C"/>
    <w:rsid w:val="00DF6FC4"/>
    <w:rsid w:val="00DF7114"/>
    <w:rsid w:val="00DF7C26"/>
    <w:rsid w:val="00E00CF2"/>
    <w:rsid w:val="00E01FF2"/>
    <w:rsid w:val="00E03236"/>
    <w:rsid w:val="00E03408"/>
    <w:rsid w:val="00E0381B"/>
    <w:rsid w:val="00E064B5"/>
    <w:rsid w:val="00E0674B"/>
    <w:rsid w:val="00E10FA4"/>
    <w:rsid w:val="00E13D9A"/>
    <w:rsid w:val="00E156D1"/>
    <w:rsid w:val="00E15931"/>
    <w:rsid w:val="00E16D09"/>
    <w:rsid w:val="00E17F80"/>
    <w:rsid w:val="00E20E09"/>
    <w:rsid w:val="00E21C19"/>
    <w:rsid w:val="00E248F1"/>
    <w:rsid w:val="00E24EFA"/>
    <w:rsid w:val="00E253EF"/>
    <w:rsid w:val="00E25F54"/>
    <w:rsid w:val="00E30AAB"/>
    <w:rsid w:val="00E31297"/>
    <w:rsid w:val="00E319B3"/>
    <w:rsid w:val="00E334AA"/>
    <w:rsid w:val="00E335B7"/>
    <w:rsid w:val="00E340A6"/>
    <w:rsid w:val="00E34A3D"/>
    <w:rsid w:val="00E35F45"/>
    <w:rsid w:val="00E364F3"/>
    <w:rsid w:val="00E4002C"/>
    <w:rsid w:val="00E40619"/>
    <w:rsid w:val="00E40656"/>
    <w:rsid w:val="00E4136E"/>
    <w:rsid w:val="00E4142A"/>
    <w:rsid w:val="00E41F01"/>
    <w:rsid w:val="00E4262C"/>
    <w:rsid w:val="00E42ADD"/>
    <w:rsid w:val="00E43707"/>
    <w:rsid w:val="00E4470E"/>
    <w:rsid w:val="00E44F17"/>
    <w:rsid w:val="00E45B72"/>
    <w:rsid w:val="00E45EB3"/>
    <w:rsid w:val="00E46CE7"/>
    <w:rsid w:val="00E479DE"/>
    <w:rsid w:val="00E503BC"/>
    <w:rsid w:val="00E50881"/>
    <w:rsid w:val="00E51005"/>
    <w:rsid w:val="00E51E78"/>
    <w:rsid w:val="00E52018"/>
    <w:rsid w:val="00E52AE3"/>
    <w:rsid w:val="00E56F02"/>
    <w:rsid w:val="00E60668"/>
    <w:rsid w:val="00E617C0"/>
    <w:rsid w:val="00E61D8D"/>
    <w:rsid w:val="00E61E60"/>
    <w:rsid w:val="00E64B08"/>
    <w:rsid w:val="00E64D0E"/>
    <w:rsid w:val="00E65452"/>
    <w:rsid w:val="00E661AA"/>
    <w:rsid w:val="00E6683E"/>
    <w:rsid w:val="00E66BEB"/>
    <w:rsid w:val="00E672A7"/>
    <w:rsid w:val="00E67F08"/>
    <w:rsid w:val="00E705A4"/>
    <w:rsid w:val="00E70FCC"/>
    <w:rsid w:val="00E712B4"/>
    <w:rsid w:val="00E7148D"/>
    <w:rsid w:val="00E714CB"/>
    <w:rsid w:val="00E7196D"/>
    <w:rsid w:val="00E71D8B"/>
    <w:rsid w:val="00E72037"/>
    <w:rsid w:val="00E75472"/>
    <w:rsid w:val="00E75998"/>
    <w:rsid w:val="00E76AF6"/>
    <w:rsid w:val="00E80648"/>
    <w:rsid w:val="00E8096A"/>
    <w:rsid w:val="00E81508"/>
    <w:rsid w:val="00E8298D"/>
    <w:rsid w:val="00E84377"/>
    <w:rsid w:val="00E84E47"/>
    <w:rsid w:val="00E8604E"/>
    <w:rsid w:val="00E8630C"/>
    <w:rsid w:val="00E864A4"/>
    <w:rsid w:val="00E86E03"/>
    <w:rsid w:val="00E86E5C"/>
    <w:rsid w:val="00E87302"/>
    <w:rsid w:val="00E87F4A"/>
    <w:rsid w:val="00E9128E"/>
    <w:rsid w:val="00E93CBD"/>
    <w:rsid w:val="00E95514"/>
    <w:rsid w:val="00E957DC"/>
    <w:rsid w:val="00E95D2E"/>
    <w:rsid w:val="00E96657"/>
    <w:rsid w:val="00E97BB3"/>
    <w:rsid w:val="00EA091F"/>
    <w:rsid w:val="00EA0A55"/>
    <w:rsid w:val="00EA0C4D"/>
    <w:rsid w:val="00EA1841"/>
    <w:rsid w:val="00EA219B"/>
    <w:rsid w:val="00EA23F1"/>
    <w:rsid w:val="00EA28D7"/>
    <w:rsid w:val="00EA30A7"/>
    <w:rsid w:val="00EA544D"/>
    <w:rsid w:val="00EA5A9E"/>
    <w:rsid w:val="00EA62E8"/>
    <w:rsid w:val="00EA65C6"/>
    <w:rsid w:val="00EA7234"/>
    <w:rsid w:val="00EA7C63"/>
    <w:rsid w:val="00EB0177"/>
    <w:rsid w:val="00EB38D9"/>
    <w:rsid w:val="00EB4A7C"/>
    <w:rsid w:val="00EB54A4"/>
    <w:rsid w:val="00EB5F54"/>
    <w:rsid w:val="00EB630B"/>
    <w:rsid w:val="00EB67E2"/>
    <w:rsid w:val="00EB6E7B"/>
    <w:rsid w:val="00EC0BA2"/>
    <w:rsid w:val="00EC0BC9"/>
    <w:rsid w:val="00EC29F6"/>
    <w:rsid w:val="00EC32F1"/>
    <w:rsid w:val="00EC3EA0"/>
    <w:rsid w:val="00EC436B"/>
    <w:rsid w:val="00EC4593"/>
    <w:rsid w:val="00EC4924"/>
    <w:rsid w:val="00EC527B"/>
    <w:rsid w:val="00EC66FA"/>
    <w:rsid w:val="00EC68A1"/>
    <w:rsid w:val="00ED24DF"/>
    <w:rsid w:val="00ED2F42"/>
    <w:rsid w:val="00ED4B13"/>
    <w:rsid w:val="00ED4D72"/>
    <w:rsid w:val="00ED6B01"/>
    <w:rsid w:val="00ED7BC5"/>
    <w:rsid w:val="00EE066B"/>
    <w:rsid w:val="00EE12F7"/>
    <w:rsid w:val="00EE14C4"/>
    <w:rsid w:val="00EE1705"/>
    <w:rsid w:val="00EE190B"/>
    <w:rsid w:val="00EE1A24"/>
    <w:rsid w:val="00EE1D5B"/>
    <w:rsid w:val="00EE3322"/>
    <w:rsid w:val="00EE59C8"/>
    <w:rsid w:val="00EE5A00"/>
    <w:rsid w:val="00EE5B00"/>
    <w:rsid w:val="00EE5F67"/>
    <w:rsid w:val="00EE649C"/>
    <w:rsid w:val="00EE6849"/>
    <w:rsid w:val="00EF069C"/>
    <w:rsid w:val="00EF0B83"/>
    <w:rsid w:val="00EF1C55"/>
    <w:rsid w:val="00EF2D51"/>
    <w:rsid w:val="00EF345F"/>
    <w:rsid w:val="00EF3555"/>
    <w:rsid w:val="00EF4FE5"/>
    <w:rsid w:val="00EF69D5"/>
    <w:rsid w:val="00EF70A0"/>
    <w:rsid w:val="00F00339"/>
    <w:rsid w:val="00F00A57"/>
    <w:rsid w:val="00F02098"/>
    <w:rsid w:val="00F03E94"/>
    <w:rsid w:val="00F04E74"/>
    <w:rsid w:val="00F05C56"/>
    <w:rsid w:val="00F05CCC"/>
    <w:rsid w:val="00F068F3"/>
    <w:rsid w:val="00F070CB"/>
    <w:rsid w:val="00F104CE"/>
    <w:rsid w:val="00F11603"/>
    <w:rsid w:val="00F11B55"/>
    <w:rsid w:val="00F11FE3"/>
    <w:rsid w:val="00F13077"/>
    <w:rsid w:val="00F1314A"/>
    <w:rsid w:val="00F13FBD"/>
    <w:rsid w:val="00F152A0"/>
    <w:rsid w:val="00F15597"/>
    <w:rsid w:val="00F15B92"/>
    <w:rsid w:val="00F15F66"/>
    <w:rsid w:val="00F16236"/>
    <w:rsid w:val="00F162E7"/>
    <w:rsid w:val="00F22B52"/>
    <w:rsid w:val="00F22F74"/>
    <w:rsid w:val="00F231A8"/>
    <w:rsid w:val="00F244C8"/>
    <w:rsid w:val="00F2574E"/>
    <w:rsid w:val="00F25FF6"/>
    <w:rsid w:val="00F27247"/>
    <w:rsid w:val="00F27947"/>
    <w:rsid w:val="00F307AA"/>
    <w:rsid w:val="00F36847"/>
    <w:rsid w:val="00F37C15"/>
    <w:rsid w:val="00F40011"/>
    <w:rsid w:val="00F40F4F"/>
    <w:rsid w:val="00F41496"/>
    <w:rsid w:val="00F418A2"/>
    <w:rsid w:val="00F43609"/>
    <w:rsid w:val="00F43ECA"/>
    <w:rsid w:val="00F44101"/>
    <w:rsid w:val="00F441B7"/>
    <w:rsid w:val="00F4596A"/>
    <w:rsid w:val="00F4605F"/>
    <w:rsid w:val="00F469FD"/>
    <w:rsid w:val="00F503EE"/>
    <w:rsid w:val="00F50681"/>
    <w:rsid w:val="00F50CE1"/>
    <w:rsid w:val="00F50E2A"/>
    <w:rsid w:val="00F515ED"/>
    <w:rsid w:val="00F51B8F"/>
    <w:rsid w:val="00F53D1A"/>
    <w:rsid w:val="00F5422D"/>
    <w:rsid w:val="00F55272"/>
    <w:rsid w:val="00F56D1E"/>
    <w:rsid w:val="00F57556"/>
    <w:rsid w:val="00F604D7"/>
    <w:rsid w:val="00F60EC8"/>
    <w:rsid w:val="00F613C2"/>
    <w:rsid w:val="00F617DE"/>
    <w:rsid w:val="00F618F4"/>
    <w:rsid w:val="00F61DAC"/>
    <w:rsid w:val="00F63E08"/>
    <w:rsid w:val="00F6583B"/>
    <w:rsid w:val="00F662D5"/>
    <w:rsid w:val="00F6736A"/>
    <w:rsid w:val="00F677E1"/>
    <w:rsid w:val="00F67E99"/>
    <w:rsid w:val="00F70C07"/>
    <w:rsid w:val="00F70C7A"/>
    <w:rsid w:val="00F7104D"/>
    <w:rsid w:val="00F71431"/>
    <w:rsid w:val="00F72781"/>
    <w:rsid w:val="00F7357F"/>
    <w:rsid w:val="00F73877"/>
    <w:rsid w:val="00F74871"/>
    <w:rsid w:val="00F74944"/>
    <w:rsid w:val="00F7594F"/>
    <w:rsid w:val="00F75DB1"/>
    <w:rsid w:val="00F776AB"/>
    <w:rsid w:val="00F77776"/>
    <w:rsid w:val="00F802AA"/>
    <w:rsid w:val="00F8179F"/>
    <w:rsid w:val="00F8185B"/>
    <w:rsid w:val="00F81988"/>
    <w:rsid w:val="00F81B98"/>
    <w:rsid w:val="00F8309F"/>
    <w:rsid w:val="00F85CCB"/>
    <w:rsid w:val="00F86C0D"/>
    <w:rsid w:val="00F86C1C"/>
    <w:rsid w:val="00F87484"/>
    <w:rsid w:val="00F90563"/>
    <w:rsid w:val="00F9112F"/>
    <w:rsid w:val="00F93591"/>
    <w:rsid w:val="00F93DA1"/>
    <w:rsid w:val="00F9434D"/>
    <w:rsid w:val="00F946EC"/>
    <w:rsid w:val="00F95723"/>
    <w:rsid w:val="00F97760"/>
    <w:rsid w:val="00F978D3"/>
    <w:rsid w:val="00FA1C09"/>
    <w:rsid w:val="00FA264B"/>
    <w:rsid w:val="00FA2974"/>
    <w:rsid w:val="00FA2A5C"/>
    <w:rsid w:val="00FA7711"/>
    <w:rsid w:val="00FB2D76"/>
    <w:rsid w:val="00FB49D1"/>
    <w:rsid w:val="00FC0009"/>
    <w:rsid w:val="00FC0094"/>
    <w:rsid w:val="00FC1F3B"/>
    <w:rsid w:val="00FC3971"/>
    <w:rsid w:val="00FC3B94"/>
    <w:rsid w:val="00FC3D8D"/>
    <w:rsid w:val="00FC4D30"/>
    <w:rsid w:val="00FC4E85"/>
    <w:rsid w:val="00FC715D"/>
    <w:rsid w:val="00FD06BF"/>
    <w:rsid w:val="00FD0AE5"/>
    <w:rsid w:val="00FD149E"/>
    <w:rsid w:val="00FD3DC3"/>
    <w:rsid w:val="00FD42DA"/>
    <w:rsid w:val="00FD4434"/>
    <w:rsid w:val="00FD4587"/>
    <w:rsid w:val="00FD4D84"/>
    <w:rsid w:val="00FD696A"/>
    <w:rsid w:val="00FD7834"/>
    <w:rsid w:val="00FD7FC7"/>
    <w:rsid w:val="00FE0769"/>
    <w:rsid w:val="00FE1036"/>
    <w:rsid w:val="00FE3911"/>
    <w:rsid w:val="00FE558E"/>
    <w:rsid w:val="00FE5658"/>
    <w:rsid w:val="00FE5FB3"/>
    <w:rsid w:val="00FE7A72"/>
    <w:rsid w:val="00FF130F"/>
    <w:rsid w:val="00FF2A31"/>
    <w:rsid w:val="00FF303F"/>
    <w:rsid w:val="00FF433D"/>
    <w:rsid w:val="00FF4471"/>
    <w:rsid w:val="00FF6056"/>
    <w:rsid w:val="00FF6ED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4C09A6-88E8-4786-B450-5D0BF91A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F23"/>
    <w:rPr>
      <w:sz w:val="24"/>
      <w:szCs w:val="24"/>
      <w:lang w:eastAsia="en-AU"/>
    </w:rPr>
  </w:style>
  <w:style w:type="paragraph" w:styleId="Heading1">
    <w:name w:val="heading 1"/>
    <w:basedOn w:val="BodyText"/>
    <w:next w:val="BodyText"/>
    <w:link w:val="Heading1Char"/>
    <w:qFormat/>
    <w:rsid w:val="00972650"/>
    <w:pPr>
      <w:keepNext/>
      <w:keepLines/>
      <w:numPr>
        <w:numId w:val="1"/>
      </w:numPr>
      <w:spacing w:before="480"/>
      <w:outlineLvl w:val="0"/>
    </w:pPr>
    <w:rPr>
      <w:b/>
      <w:bCs/>
      <w:sz w:val="28"/>
      <w:szCs w:val="28"/>
    </w:rPr>
  </w:style>
  <w:style w:type="paragraph" w:styleId="Heading2">
    <w:name w:val="heading 2"/>
    <w:basedOn w:val="Heading1"/>
    <w:next w:val="BodyText"/>
    <w:link w:val="Heading2Char"/>
    <w:unhideWhenUsed/>
    <w:qFormat/>
    <w:rsid w:val="00171119"/>
    <w:pPr>
      <w:numPr>
        <w:ilvl w:val="1"/>
      </w:numPr>
      <w:spacing w:before="360"/>
      <w:ind w:left="576"/>
      <w:outlineLvl w:val="1"/>
    </w:pPr>
    <w:rPr>
      <w:sz w:val="26"/>
      <w:szCs w:val="26"/>
    </w:rPr>
  </w:style>
  <w:style w:type="paragraph" w:styleId="Heading3">
    <w:name w:val="heading 3"/>
    <w:basedOn w:val="Heading1"/>
    <w:next w:val="BodyText"/>
    <w:link w:val="Heading3Char"/>
    <w:unhideWhenUsed/>
    <w:qFormat/>
    <w:rsid w:val="009C4088"/>
    <w:pPr>
      <w:numPr>
        <w:ilvl w:val="2"/>
        <w:numId w:val="0"/>
      </w:numPr>
      <w:spacing w:before="240"/>
      <w:outlineLvl w:val="2"/>
    </w:pPr>
    <w:rPr>
      <w:sz w:val="24"/>
      <w:szCs w:val="24"/>
    </w:rPr>
  </w:style>
  <w:style w:type="paragraph" w:styleId="Heading4">
    <w:name w:val="heading 4"/>
    <w:basedOn w:val="BodyText1"/>
    <w:next w:val="BodyText"/>
    <w:link w:val="Heading4Char"/>
    <w:unhideWhenUsed/>
    <w:qFormat/>
    <w:rsid w:val="00956983"/>
    <w:pPr>
      <w:spacing w:before="240"/>
      <w:outlineLvl w:val="3"/>
    </w:pPr>
    <w:rPr>
      <w:rFonts w:ascii="Arial" w:hAnsi="Arial"/>
      <w:sz w:val="24"/>
      <w:szCs w:val="22"/>
    </w:rPr>
  </w:style>
  <w:style w:type="paragraph" w:styleId="Heading5">
    <w:name w:val="heading 5"/>
    <w:basedOn w:val="Heading1"/>
    <w:next w:val="BodyText"/>
    <w:link w:val="Heading5Char"/>
    <w:unhideWhenUsed/>
    <w:qFormat/>
    <w:rsid w:val="00816079"/>
    <w:pPr>
      <w:numPr>
        <w:ilvl w:val="4"/>
        <w:numId w:val="0"/>
      </w:numPr>
      <w:spacing w:before="200"/>
      <w:outlineLvl w:val="4"/>
    </w:pPr>
    <w:rPr>
      <w:b w:val="0"/>
      <w:sz w:val="22"/>
    </w:rPr>
  </w:style>
  <w:style w:type="paragraph" w:styleId="Heading6">
    <w:name w:val="heading 6"/>
    <w:basedOn w:val="Normal"/>
    <w:next w:val="Normal"/>
    <w:link w:val="Heading6Char"/>
    <w:unhideWhenUsed/>
    <w:qFormat/>
    <w:rsid w:val="007D5017"/>
    <w:pPr>
      <w:keepNext/>
      <w:keepLines/>
      <w:numPr>
        <w:ilvl w:val="5"/>
        <w:numId w:val="1"/>
      </w:numPr>
      <w:spacing w:before="200"/>
      <w:outlineLvl w:val="5"/>
    </w:pPr>
    <w:rPr>
      <w:rFonts w:ascii="Arial" w:hAnsi="Arial"/>
      <w:i/>
      <w:iCs/>
      <w:color w:val="0F2031"/>
      <w:sz w:val="20"/>
      <w:szCs w:val="20"/>
      <w:lang w:eastAsia="en-US"/>
    </w:rPr>
  </w:style>
  <w:style w:type="paragraph" w:styleId="Heading7">
    <w:name w:val="heading 7"/>
    <w:basedOn w:val="Normal"/>
    <w:next w:val="Normal"/>
    <w:link w:val="Heading7Char"/>
    <w:semiHidden/>
    <w:unhideWhenUsed/>
    <w:qFormat/>
    <w:rsid w:val="007D5017"/>
    <w:pPr>
      <w:keepNext/>
      <w:keepLines/>
      <w:numPr>
        <w:ilvl w:val="6"/>
        <w:numId w:val="1"/>
      </w:numPr>
      <w:spacing w:before="200"/>
      <w:outlineLvl w:val="6"/>
    </w:pPr>
    <w:rPr>
      <w:rFonts w:ascii="Arial" w:hAnsi="Arial"/>
      <w:i/>
      <w:iCs/>
      <w:color w:val="404040"/>
      <w:sz w:val="20"/>
      <w:szCs w:val="20"/>
      <w:lang w:eastAsia="en-US"/>
    </w:rPr>
  </w:style>
  <w:style w:type="paragraph" w:styleId="Heading8">
    <w:name w:val="heading 8"/>
    <w:basedOn w:val="Normal"/>
    <w:next w:val="Normal"/>
    <w:link w:val="Heading8Char"/>
    <w:semiHidden/>
    <w:unhideWhenUsed/>
    <w:qFormat/>
    <w:rsid w:val="007D5017"/>
    <w:pPr>
      <w:keepNext/>
      <w:keepLines/>
      <w:numPr>
        <w:ilvl w:val="7"/>
        <w:numId w:val="1"/>
      </w:numPr>
      <w:spacing w:before="200"/>
      <w:outlineLvl w:val="7"/>
    </w:pPr>
    <w:rPr>
      <w:rFonts w:ascii="Arial" w:hAnsi="Arial"/>
      <w:color w:val="404040"/>
      <w:sz w:val="20"/>
      <w:szCs w:val="20"/>
      <w:lang w:eastAsia="en-US"/>
    </w:rPr>
  </w:style>
  <w:style w:type="paragraph" w:styleId="Heading9">
    <w:name w:val="heading 9"/>
    <w:basedOn w:val="Normal"/>
    <w:next w:val="Normal"/>
    <w:link w:val="Heading9Char"/>
    <w:semiHidden/>
    <w:unhideWhenUsed/>
    <w:qFormat/>
    <w:rsid w:val="007D5017"/>
    <w:pPr>
      <w:keepNext/>
      <w:keepLines/>
      <w:numPr>
        <w:ilvl w:val="8"/>
        <w:numId w:val="1"/>
      </w:numPr>
      <w:spacing w:before="200"/>
      <w:outlineLvl w:val="8"/>
    </w:pPr>
    <w:rPr>
      <w:rFonts w:ascii="Arial" w:hAnsi="Arial"/>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650"/>
    <w:rPr>
      <w:rFonts w:ascii="Arial" w:hAnsi="Arial"/>
      <w:b/>
      <w:bCs/>
      <w:sz w:val="28"/>
      <w:szCs w:val="28"/>
    </w:rPr>
  </w:style>
  <w:style w:type="character" w:customStyle="1" w:styleId="Heading2Char">
    <w:name w:val="Heading 2 Char"/>
    <w:link w:val="Heading2"/>
    <w:rsid w:val="00171119"/>
    <w:rPr>
      <w:rFonts w:ascii="Arial" w:hAnsi="Arial"/>
      <w:b/>
      <w:bCs/>
      <w:sz w:val="26"/>
      <w:szCs w:val="26"/>
    </w:rPr>
  </w:style>
  <w:style w:type="character" w:customStyle="1" w:styleId="Heading3Char">
    <w:name w:val="Heading 3 Char"/>
    <w:link w:val="Heading3"/>
    <w:uiPriority w:val="9"/>
    <w:rsid w:val="009C4088"/>
    <w:rPr>
      <w:rFonts w:ascii="Arial" w:hAnsi="Arial"/>
      <w:b/>
      <w:bCs/>
      <w:sz w:val="24"/>
      <w:szCs w:val="24"/>
    </w:rPr>
  </w:style>
  <w:style w:type="character" w:customStyle="1" w:styleId="Heading4Char">
    <w:name w:val="Heading 4 Char"/>
    <w:link w:val="Heading4"/>
    <w:rsid w:val="00956983"/>
    <w:rPr>
      <w:rFonts w:ascii="Arial" w:hAnsi="Arial"/>
      <w:sz w:val="24"/>
      <w:szCs w:val="22"/>
      <w:lang w:val="en-GB"/>
    </w:rPr>
  </w:style>
  <w:style w:type="character" w:customStyle="1" w:styleId="Heading5Char">
    <w:name w:val="Heading 5 Char"/>
    <w:link w:val="Heading5"/>
    <w:uiPriority w:val="9"/>
    <w:semiHidden/>
    <w:rsid w:val="00816079"/>
    <w:rPr>
      <w:rFonts w:ascii="Arial" w:hAnsi="Arial"/>
      <w:bCs/>
      <w:sz w:val="22"/>
      <w:szCs w:val="28"/>
    </w:rPr>
  </w:style>
  <w:style w:type="paragraph" w:styleId="Header">
    <w:name w:val="header"/>
    <w:basedOn w:val="Normal"/>
    <w:link w:val="HeaderChar"/>
    <w:unhideWhenUsed/>
    <w:rsid w:val="00571B6E"/>
    <w:pPr>
      <w:tabs>
        <w:tab w:val="center" w:pos="4513"/>
        <w:tab w:val="right" w:pos="9026"/>
      </w:tabs>
      <w:ind w:right="2892"/>
    </w:pPr>
    <w:rPr>
      <w:rFonts w:ascii="Arial" w:hAnsi="Arial"/>
      <w:caps/>
      <w:sz w:val="16"/>
      <w:szCs w:val="20"/>
      <w:lang w:eastAsia="en-US"/>
    </w:rPr>
  </w:style>
  <w:style w:type="character" w:customStyle="1" w:styleId="HeaderChar">
    <w:name w:val="Header Char"/>
    <w:link w:val="Header"/>
    <w:uiPriority w:val="99"/>
    <w:rsid w:val="00571B6E"/>
    <w:rPr>
      <w:rFonts w:ascii="Arial" w:hAnsi="Arial"/>
      <w:caps/>
      <w:sz w:val="16"/>
      <w:lang w:eastAsia="en-US"/>
    </w:rPr>
  </w:style>
  <w:style w:type="paragraph" w:styleId="Footer">
    <w:name w:val="footer"/>
    <w:basedOn w:val="Normal"/>
    <w:link w:val="FooterChar"/>
    <w:uiPriority w:val="99"/>
    <w:unhideWhenUsed/>
    <w:rsid w:val="004F07EE"/>
    <w:pPr>
      <w:tabs>
        <w:tab w:val="center" w:pos="4820"/>
        <w:tab w:val="right" w:pos="9639"/>
      </w:tabs>
    </w:pPr>
    <w:rPr>
      <w:rFonts w:ascii="Arial" w:hAnsi="Arial"/>
      <w:sz w:val="16"/>
      <w:szCs w:val="20"/>
      <w:lang w:eastAsia="en-US"/>
    </w:rPr>
  </w:style>
  <w:style w:type="character" w:customStyle="1" w:styleId="FooterChar">
    <w:name w:val="Footer Char"/>
    <w:link w:val="Footer"/>
    <w:uiPriority w:val="99"/>
    <w:rsid w:val="004F07EE"/>
    <w:rPr>
      <w:rFonts w:ascii="Arial" w:hAnsi="Arial"/>
      <w:sz w:val="16"/>
      <w:lang w:eastAsia="en-US"/>
    </w:rPr>
  </w:style>
  <w:style w:type="paragraph" w:styleId="BodyText">
    <w:name w:val="Body Text"/>
    <w:basedOn w:val="Normal"/>
    <w:link w:val="BodyTextChar"/>
    <w:uiPriority w:val="99"/>
    <w:unhideWhenUsed/>
    <w:rsid w:val="00866123"/>
    <w:pPr>
      <w:spacing w:before="120" w:after="120"/>
    </w:pPr>
    <w:rPr>
      <w:rFonts w:ascii="Arial" w:hAnsi="Arial"/>
      <w:sz w:val="22"/>
      <w:szCs w:val="20"/>
      <w:lang w:eastAsia="en-US"/>
    </w:rPr>
  </w:style>
  <w:style w:type="character" w:customStyle="1" w:styleId="BodyTextChar">
    <w:name w:val="Body Text Char"/>
    <w:link w:val="BodyText"/>
    <w:uiPriority w:val="99"/>
    <w:rsid w:val="00866123"/>
    <w:rPr>
      <w:rFonts w:ascii="Arial" w:hAnsi="Arial"/>
      <w:sz w:val="22"/>
      <w:lang w:eastAsia="en-US"/>
    </w:rPr>
  </w:style>
  <w:style w:type="paragraph" w:styleId="Caption">
    <w:name w:val="caption"/>
    <w:basedOn w:val="BodyText"/>
    <w:next w:val="BodyText"/>
    <w:link w:val="CaptionChar"/>
    <w:uiPriority w:val="35"/>
    <w:unhideWhenUsed/>
    <w:qFormat/>
    <w:rsid w:val="00E75998"/>
    <w:pPr>
      <w:spacing w:before="0" w:after="0"/>
    </w:pPr>
    <w:rPr>
      <w:bCs/>
      <w:i/>
      <w:sz w:val="20"/>
      <w:szCs w:val="18"/>
    </w:rPr>
  </w:style>
  <w:style w:type="paragraph" w:styleId="Title">
    <w:name w:val="Title"/>
    <w:basedOn w:val="Normal"/>
    <w:next w:val="Normal"/>
    <w:link w:val="TitleChar"/>
    <w:uiPriority w:val="10"/>
    <w:qFormat/>
    <w:rsid w:val="00313580"/>
    <w:pPr>
      <w:spacing w:before="1920" w:after="480"/>
    </w:pPr>
    <w:rPr>
      <w:rFonts w:ascii="Arial" w:hAnsi="Arial"/>
      <w:caps/>
      <w:color w:val="000000"/>
      <w:sz w:val="48"/>
      <w:szCs w:val="20"/>
      <w:lang w:eastAsia="en-US"/>
    </w:rPr>
  </w:style>
  <w:style w:type="character" w:customStyle="1" w:styleId="TitleChar">
    <w:name w:val="Title Char"/>
    <w:link w:val="Title"/>
    <w:uiPriority w:val="10"/>
    <w:rsid w:val="00F9112F"/>
    <w:rPr>
      <w:rFonts w:ascii="Arial" w:hAnsi="Arial"/>
      <w:caps/>
      <w:color w:val="000000"/>
      <w:sz w:val="48"/>
      <w:lang w:eastAsia="en-US"/>
    </w:rPr>
  </w:style>
  <w:style w:type="paragraph" w:styleId="TOC2">
    <w:name w:val="toc 2"/>
    <w:basedOn w:val="TOC1"/>
    <w:next w:val="Normal"/>
    <w:autoRedefine/>
    <w:uiPriority w:val="39"/>
    <w:rsid w:val="002B18E9"/>
    <w:pPr>
      <w:spacing w:before="120"/>
    </w:pPr>
    <w:rPr>
      <w:sz w:val="22"/>
      <w:szCs w:val="22"/>
    </w:rPr>
  </w:style>
  <w:style w:type="paragraph" w:styleId="TOC1">
    <w:name w:val="toc 1"/>
    <w:basedOn w:val="Normal"/>
    <w:next w:val="Normal"/>
    <w:autoRedefine/>
    <w:uiPriority w:val="39"/>
    <w:rsid w:val="002B18E9"/>
    <w:pPr>
      <w:tabs>
        <w:tab w:val="left" w:pos="851"/>
        <w:tab w:val="right" w:leader="dot" w:pos="9214"/>
      </w:tabs>
      <w:spacing w:before="240" w:after="60"/>
      <w:ind w:left="851" w:hanging="851"/>
    </w:pPr>
    <w:rPr>
      <w:rFonts w:ascii="Arial" w:hAnsi="Arial"/>
      <w:noProof/>
      <w:color w:val="000000"/>
      <w:lang w:eastAsia="en-US"/>
    </w:rPr>
  </w:style>
  <w:style w:type="paragraph" w:styleId="TOC3">
    <w:name w:val="toc 3"/>
    <w:basedOn w:val="TOC2"/>
    <w:next w:val="Normal"/>
    <w:autoRedefine/>
    <w:uiPriority w:val="39"/>
    <w:rsid w:val="002B18E9"/>
    <w:pPr>
      <w:spacing w:before="60"/>
      <w:contextualSpacing/>
    </w:pPr>
    <w:rPr>
      <w:sz w:val="20"/>
    </w:rPr>
  </w:style>
  <w:style w:type="paragraph" w:styleId="TOC4">
    <w:name w:val="toc 4"/>
    <w:basedOn w:val="TOC3"/>
    <w:next w:val="Normal"/>
    <w:autoRedefine/>
    <w:uiPriority w:val="39"/>
    <w:unhideWhenUsed/>
    <w:rsid w:val="00E72037"/>
  </w:style>
  <w:style w:type="character" w:styleId="PlaceholderText">
    <w:name w:val="Placeholder Text"/>
    <w:uiPriority w:val="99"/>
    <w:semiHidden/>
    <w:rsid w:val="00B06772"/>
    <w:rPr>
      <w:color w:val="808080"/>
    </w:rPr>
  </w:style>
  <w:style w:type="table" w:styleId="TableGrid">
    <w:name w:val="Table Grid"/>
    <w:basedOn w:val="TableNormal"/>
    <w:uiPriority w:val="59"/>
    <w:rsid w:val="00C974E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BodyText"/>
    <w:uiPriority w:val="99"/>
    <w:unhideWhenUsed/>
    <w:rsid w:val="00195C46"/>
    <w:pPr>
      <w:numPr>
        <w:numId w:val="5"/>
      </w:numPr>
    </w:pPr>
  </w:style>
  <w:style w:type="paragraph" w:styleId="ListBullet2">
    <w:name w:val="List Bullet 2"/>
    <w:basedOn w:val="ListBullet"/>
    <w:uiPriority w:val="99"/>
    <w:unhideWhenUsed/>
    <w:rsid w:val="00195C46"/>
    <w:pPr>
      <w:numPr>
        <w:numId w:val="6"/>
      </w:numPr>
    </w:pPr>
  </w:style>
  <w:style w:type="paragraph" w:styleId="ListBullet3">
    <w:name w:val="List Bullet 3"/>
    <w:basedOn w:val="ListBullet"/>
    <w:uiPriority w:val="99"/>
    <w:unhideWhenUsed/>
    <w:rsid w:val="00195C46"/>
    <w:pPr>
      <w:numPr>
        <w:numId w:val="7"/>
      </w:numPr>
    </w:pPr>
  </w:style>
  <w:style w:type="paragraph" w:styleId="ListNumber">
    <w:name w:val="List Number"/>
    <w:basedOn w:val="BodyText"/>
    <w:unhideWhenUsed/>
    <w:rsid w:val="00195C46"/>
    <w:pPr>
      <w:numPr>
        <w:numId w:val="2"/>
      </w:numPr>
    </w:pPr>
  </w:style>
  <w:style w:type="paragraph" w:styleId="ListNumber2">
    <w:name w:val="List Number 2"/>
    <w:basedOn w:val="ListNumber"/>
    <w:uiPriority w:val="99"/>
    <w:unhideWhenUsed/>
    <w:rsid w:val="00195C46"/>
    <w:pPr>
      <w:numPr>
        <w:numId w:val="3"/>
      </w:numPr>
    </w:pPr>
  </w:style>
  <w:style w:type="paragraph" w:styleId="ListNumber3">
    <w:name w:val="List Number 3"/>
    <w:basedOn w:val="ListNumber"/>
    <w:uiPriority w:val="99"/>
    <w:unhideWhenUsed/>
    <w:rsid w:val="00195C46"/>
    <w:pPr>
      <w:numPr>
        <w:numId w:val="4"/>
      </w:numPr>
    </w:pPr>
  </w:style>
  <w:style w:type="table" w:styleId="TableTheme">
    <w:name w:val="Table Theme"/>
    <w:basedOn w:val="TableNormal"/>
    <w:uiPriority w:val="99"/>
    <w:semiHidden/>
    <w:unhideWhenUsed/>
    <w:rsid w:val="00257D2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cAEMOTable">
    <w:name w:val="Basic AEMO Table"/>
    <w:basedOn w:val="TableNormal"/>
    <w:uiPriority w:val="99"/>
    <w:qFormat/>
    <w:rsid w:val="00085DC6"/>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Symbol" w:hAnsi="Symbol"/>
        <w:b w:val="0"/>
        <w:i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TOCTitle">
    <w:name w:val="TOC Title"/>
    <w:basedOn w:val="Normal"/>
    <w:next w:val="Normal"/>
    <w:qFormat/>
    <w:rsid w:val="007E77E2"/>
    <w:pPr>
      <w:spacing w:after="360"/>
    </w:pPr>
    <w:rPr>
      <w:rFonts w:ascii="Arial" w:hAnsi="Arial"/>
      <w:sz w:val="36"/>
      <w:szCs w:val="20"/>
      <w:lang w:eastAsia="en-US"/>
    </w:rPr>
  </w:style>
  <w:style w:type="character" w:customStyle="1" w:styleId="Heading6Char">
    <w:name w:val="Heading 6 Char"/>
    <w:link w:val="Heading6"/>
    <w:rsid w:val="007D5017"/>
    <w:rPr>
      <w:rFonts w:ascii="Arial" w:hAnsi="Arial"/>
      <w:i/>
      <w:iCs/>
      <w:color w:val="0F2031"/>
    </w:rPr>
  </w:style>
  <w:style w:type="character" w:customStyle="1" w:styleId="Heading7Char">
    <w:name w:val="Heading 7 Char"/>
    <w:link w:val="Heading7"/>
    <w:semiHidden/>
    <w:rsid w:val="007D5017"/>
    <w:rPr>
      <w:rFonts w:ascii="Arial" w:hAnsi="Arial"/>
      <w:i/>
      <w:iCs/>
      <w:color w:val="404040"/>
    </w:rPr>
  </w:style>
  <w:style w:type="character" w:customStyle="1" w:styleId="Heading8Char">
    <w:name w:val="Heading 8 Char"/>
    <w:link w:val="Heading8"/>
    <w:semiHidden/>
    <w:rsid w:val="007D5017"/>
    <w:rPr>
      <w:rFonts w:ascii="Arial" w:hAnsi="Arial"/>
      <w:color w:val="404040"/>
    </w:rPr>
  </w:style>
  <w:style w:type="character" w:customStyle="1" w:styleId="Heading9Char">
    <w:name w:val="Heading 9 Char"/>
    <w:link w:val="Heading9"/>
    <w:semiHidden/>
    <w:rsid w:val="007D5017"/>
    <w:rPr>
      <w:rFonts w:ascii="Arial" w:hAnsi="Arial"/>
      <w:i/>
      <w:iCs/>
      <w:color w:val="404040"/>
    </w:rPr>
  </w:style>
  <w:style w:type="paragraph" w:styleId="Subtitle">
    <w:name w:val="Subtitle"/>
    <w:basedOn w:val="BodyText"/>
    <w:link w:val="SubtitleChar"/>
    <w:uiPriority w:val="11"/>
    <w:qFormat/>
    <w:rsid w:val="00FE1036"/>
    <w:pPr>
      <w:tabs>
        <w:tab w:val="left" w:pos="2268"/>
      </w:tabs>
      <w:spacing w:before="240"/>
    </w:pPr>
  </w:style>
  <w:style w:type="character" w:customStyle="1" w:styleId="SubtitleChar">
    <w:name w:val="Subtitle Char"/>
    <w:link w:val="Subtitle"/>
    <w:uiPriority w:val="11"/>
    <w:rsid w:val="00FE1036"/>
    <w:rPr>
      <w:rFonts w:ascii="Arial" w:hAnsi="Arial"/>
      <w:sz w:val="22"/>
      <w:lang w:eastAsia="en-US"/>
    </w:rPr>
  </w:style>
  <w:style w:type="character" w:styleId="Hyperlink">
    <w:name w:val="Hyperlink"/>
    <w:uiPriority w:val="99"/>
    <w:unhideWhenUsed/>
    <w:rsid w:val="00C02B21"/>
    <w:rPr>
      <w:color w:val="CB7E80"/>
      <w:u w:val="single"/>
    </w:rPr>
  </w:style>
  <w:style w:type="character" w:styleId="FootnoteReference">
    <w:name w:val="footnote reference"/>
    <w:unhideWhenUsed/>
    <w:rsid w:val="0046354B"/>
    <w:rPr>
      <w:vertAlign w:val="superscript"/>
    </w:rPr>
  </w:style>
  <w:style w:type="paragraph" w:styleId="BalloonText">
    <w:name w:val="Balloon Text"/>
    <w:basedOn w:val="Normal"/>
    <w:link w:val="BalloonTextChar"/>
    <w:uiPriority w:val="99"/>
    <w:semiHidden/>
    <w:unhideWhenUsed/>
    <w:rsid w:val="00997FD9"/>
    <w:rPr>
      <w:rFonts w:ascii="Tahoma" w:hAnsi="Tahoma" w:cs="Tahoma"/>
      <w:sz w:val="16"/>
      <w:szCs w:val="16"/>
      <w:lang w:eastAsia="en-US"/>
    </w:rPr>
  </w:style>
  <w:style w:type="character" w:customStyle="1" w:styleId="BalloonTextChar">
    <w:name w:val="Balloon Text Char"/>
    <w:link w:val="BalloonText"/>
    <w:uiPriority w:val="99"/>
    <w:semiHidden/>
    <w:rsid w:val="00997FD9"/>
    <w:rPr>
      <w:rFonts w:ascii="Tahoma" w:hAnsi="Tahoma" w:cs="Tahoma"/>
      <w:sz w:val="16"/>
      <w:szCs w:val="16"/>
      <w:lang w:eastAsia="en-US"/>
    </w:rPr>
  </w:style>
  <w:style w:type="paragraph" w:styleId="ListContinue">
    <w:name w:val="List Continue"/>
    <w:basedOn w:val="BodyText"/>
    <w:uiPriority w:val="99"/>
    <w:unhideWhenUsed/>
    <w:rsid w:val="00012516"/>
    <w:pPr>
      <w:ind w:left="714"/>
      <w:contextualSpacing/>
    </w:pPr>
  </w:style>
  <w:style w:type="paragraph" w:styleId="ListContinue2">
    <w:name w:val="List Continue 2"/>
    <w:basedOn w:val="ListContinue"/>
    <w:uiPriority w:val="99"/>
    <w:unhideWhenUsed/>
    <w:rsid w:val="00012516"/>
    <w:pPr>
      <w:ind w:left="1072"/>
    </w:pPr>
  </w:style>
  <w:style w:type="paragraph" w:styleId="ListContinue3">
    <w:name w:val="List Continue 3"/>
    <w:basedOn w:val="ListContinue"/>
    <w:uiPriority w:val="99"/>
    <w:unhideWhenUsed/>
    <w:rsid w:val="00012516"/>
    <w:pPr>
      <w:ind w:left="1429"/>
    </w:pPr>
  </w:style>
  <w:style w:type="paragraph" w:customStyle="1" w:styleId="Body1">
    <w:name w:val="Body 1"/>
    <w:basedOn w:val="Normal"/>
    <w:link w:val="Body1Char"/>
    <w:qFormat/>
    <w:rsid w:val="004C0156"/>
    <w:pPr>
      <w:keepLines/>
      <w:overflowPunct w:val="0"/>
      <w:autoSpaceDE w:val="0"/>
      <w:autoSpaceDN w:val="0"/>
      <w:adjustRightInd w:val="0"/>
      <w:spacing w:before="120"/>
      <w:jc w:val="both"/>
      <w:textAlignment w:val="baseline"/>
    </w:pPr>
    <w:rPr>
      <w:rFonts w:ascii="Arial" w:hAnsi="Arial" w:cs="Arial"/>
      <w:sz w:val="20"/>
      <w:szCs w:val="20"/>
      <w:lang w:val="en-IE" w:eastAsia="en-GB"/>
    </w:rPr>
  </w:style>
  <w:style w:type="paragraph" w:customStyle="1" w:styleId="Bullet1">
    <w:name w:val="Bullet 1"/>
    <w:basedOn w:val="Normal"/>
    <w:rsid w:val="004C0156"/>
    <w:pPr>
      <w:keepLines/>
      <w:numPr>
        <w:numId w:val="8"/>
      </w:numPr>
      <w:spacing w:before="120"/>
      <w:jc w:val="both"/>
    </w:pPr>
    <w:rPr>
      <w:rFonts w:ascii="Arial" w:hAnsi="Arial"/>
      <w:sz w:val="20"/>
      <w:szCs w:val="20"/>
      <w:lang w:eastAsia="en-US"/>
    </w:rPr>
  </w:style>
  <w:style w:type="character" w:customStyle="1" w:styleId="Body1Char">
    <w:name w:val="Body 1 Char"/>
    <w:link w:val="Body1"/>
    <w:rsid w:val="004C0156"/>
    <w:rPr>
      <w:rFonts w:ascii="Arial" w:hAnsi="Arial" w:cs="Arial"/>
      <w:lang w:val="en-IE" w:eastAsia="en-GB"/>
    </w:rPr>
  </w:style>
  <w:style w:type="paragraph" w:styleId="EndnoteText">
    <w:name w:val="endnote text"/>
    <w:basedOn w:val="Normal"/>
    <w:link w:val="EndnoteTextChar"/>
    <w:uiPriority w:val="99"/>
    <w:semiHidden/>
    <w:unhideWhenUsed/>
    <w:rsid w:val="009340F3"/>
    <w:rPr>
      <w:rFonts w:ascii="Arial" w:hAnsi="Arial"/>
      <w:sz w:val="20"/>
      <w:szCs w:val="20"/>
      <w:lang w:eastAsia="en-US"/>
    </w:rPr>
  </w:style>
  <w:style w:type="character" w:customStyle="1" w:styleId="EndnoteTextChar">
    <w:name w:val="Endnote Text Char"/>
    <w:link w:val="EndnoteText"/>
    <w:uiPriority w:val="99"/>
    <w:semiHidden/>
    <w:rsid w:val="009340F3"/>
    <w:rPr>
      <w:rFonts w:ascii="Arial" w:hAnsi="Arial"/>
      <w:lang w:eastAsia="en-US"/>
    </w:rPr>
  </w:style>
  <w:style w:type="character" w:styleId="EndnoteReference">
    <w:name w:val="endnote reference"/>
    <w:uiPriority w:val="99"/>
    <w:semiHidden/>
    <w:unhideWhenUsed/>
    <w:rsid w:val="009340F3"/>
    <w:rPr>
      <w:vertAlign w:val="superscript"/>
    </w:rPr>
  </w:style>
  <w:style w:type="paragraph" w:styleId="FootnoteText">
    <w:name w:val="footnote text"/>
    <w:basedOn w:val="Normal"/>
    <w:link w:val="FootnoteTextChar"/>
    <w:unhideWhenUsed/>
    <w:rsid w:val="009340F3"/>
    <w:rPr>
      <w:rFonts w:ascii="Arial" w:hAnsi="Arial"/>
      <w:sz w:val="20"/>
      <w:szCs w:val="20"/>
      <w:lang w:eastAsia="en-US"/>
    </w:rPr>
  </w:style>
  <w:style w:type="character" w:customStyle="1" w:styleId="FootnoteTextChar">
    <w:name w:val="Footnote Text Char"/>
    <w:link w:val="FootnoteText"/>
    <w:rsid w:val="009340F3"/>
    <w:rPr>
      <w:rFonts w:ascii="Arial" w:hAnsi="Arial"/>
      <w:lang w:eastAsia="en-US"/>
    </w:rPr>
  </w:style>
  <w:style w:type="character" w:styleId="CommentReference">
    <w:name w:val="annotation reference"/>
    <w:uiPriority w:val="99"/>
    <w:semiHidden/>
    <w:unhideWhenUsed/>
    <w:rsid w:val="00C571CD"/>
    <w:rPr>
      <w:sz w:val="16"/>
      <w:szCs w:val="16"/>
    </w:rPr>
  </w:style>
  <w:style w:type="paragraph" w:styleId="CommentText">
    <w:name w:val="annotation text"/>
    <w:basedOn w:val="Normal"/>
    <w:link w:val="CommentTextChar"/>
    <w:uiPriority w:val="99"/>
    <w:unhideWhenUsed/>
    <w:rsid w:val="00C571CD"/>
    <w:rPr>
      <w:rFonts w:ascii="Arial" w:hAnsi="Arial"/>
      <w:sz w:val="20"/>
      <w:szCs w:val="20"/>
      <w:lang w:eastAsia="en-US"/>
    </w:rPr>
  </w:style>
  <w:style w:type="character" w:customStyle="1" w:styleId="CommentTextChar">
    <w:name w:val="Comment Text Char"/>
    <w:link w:val="CommentText"/>
    <w:uiPriority w:val="99"/>
    <w:rsid w:val="00C571CD"/>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571CD"/>
    <w:rPr>
      <w:b/>
      <w:bCs/>
    </w:rPr>
  </w:style>
  <w:style w:type="character" w:customStyle="1" w:styleId="CommentSubjectChar">
    <w:name w:val="Comment Subject Char"/>
    <w:link w:val="CommentSubject"/>
    <w:uiPriority w:val="99"/>
    <w:semiHidden/>
    <w:rsid w:val="00C571CD"/>
    <w:rPr>
      <w:rFonts w:ascii="Arial" w:hAnsi="Arial"/>
      <w:b/>
      <w:bCs/>
      <w:lang w:eastAsia="en-US"/>
    </w:rPr>
  </w:style>
  <w:style w:type="paragraph" w:styleId="ListParagraph">
    <w:name w:val="List Paragraph"/>
    <w:basedOn w:val="Normal"/>
    <w:uiPriority w:val="34"/>
    <w:qFormat/>
    <w:rsid w:val="002F62FE"/>
    <w:pPr>
      <w:ind w:left="720"/>
    </w:pPr>
    <w:rPr>
      <w:rFonts w:ascii="Arial" w:hAnsi="Arial"/>
      <w:sz w:val="20"/>
      <w:szCs w:val="20"/>
      <w:lang w:eastAsia="en-US"/>
    </w:rPr>
  </w:style>
  <w:style w:type="paragraph" w:styleId="NormalWeb">
    <w:name w:val="Normal (Web)"/>
    <w:basedOn w:val="Normal"/>
    <w:uiPriority w:val="99"/>
    <w:semiHidden/>
    <w:unhideWhenUsed/>
    <w:rsid w:val="009D603A"/>
    <w:pPr>
      <w:spacing w:before="100" w:beforeAutospacing="1" w:after="100" w:afterAutospacing="1"/>
    </w:pPr>
  </w:style>
  <w:style w:type="paragraph" w:customStyle="1" w:styleId="Bullet3">
    <w:name w:val="Bullet 3"/>
    <w:basedOn w:val="Bullet1"/>
    <w:rsid w:val="00CB5FDC"/>
    <w:pPr>
      <w:numPr>
        <w:numId w:val="9"/>
      </w:numPr>
      <w:tabs>
        <w:tab w:val="left" w:pos="1418"/>
      </w:tabs>
      <w:overflowPunct w:val="0"/>
      <w:autoSpaceDE w:val="0"/>
      <w:autoSpaceDN w:val="0"/>
      <w:adjustRightInd w:val="0"/>
      <w:spacing w:before="60" w:after="60"/>
      <w:ind w:left="1418"/>
      <w:jc w:val="left"/>
      <w:textAlignment w:val="baseline"/>
    </w:pPr>
    <w:rPr>
      <w:rFonts w:cs="Arial"/>
      <w:lang w:val="en-IE" w:eastAsia="en-GB"/>
    </w:rPr>
  </w:style>
  <w:style w:type="character" w:customStyle="1" w:styleId="CaptionChar">
    <w:name w:val="Caption Char"/>
    <w:basedOn w:val="DefaultParagraphFont"/>
    <w:link w:val="Caption"/>
    <w:locked/>
    <w:rsid w:val="00CB5FDC"/>
    <w:rPr>
      <w:rFonts w:ascii="Arial" w:hAnsi="Arial"/>
      <w:bCs/>
      <w:i/>
      <w:szCs w:val="18"/>
    </w:rPr>
  </w:style>
  <w:style w:type="paragraph" w:customStyle="1" w:styleId="BodyTableText">
    <w:name w:val="Body Table Text"/>
    <w:basedOn w:val="Normal"/>
    <w:qFormat/>
    <w:rsid w:val="00F6736A"/>
    <w:pPr>
      <w:tabs>
        <w:tab w:val="left" w:pos="9639"/>
      </w:tabs>
      <w:spacing w:before="60" w:after="60"/>
    </w:pPr>
    <w:rPr>
      <w:rFonts w:ascii="Arial" w:hAnsi="Arial"/>
      <w:bCs/>
      <w:sz w:val="16"/>
      <w:szCs w:val="20"/>
      <w:lang w:eastAsia="en-US"/>
    </w:rPr>
  </w:style>
  <w:style w:type="paragraph" w:customStyle="1" w:styleId="BodyTableHeading">
    <w:name w:val="Body Table Heading"/>
    <w:basedOn w:val="BodyTableText"/>
    <w:qFormat/>
    <w:rsid w:val="00F6736A"/>
    <w:rPr>
      <w:b/>
      <w:bCs w:val="0"/>
      <w:color w:val="FFFFFF"/>
    </w:rPr>
  </w:style>
  <w:style w:type="paragraph" w:customStyle="1" w:styleId="ReverseTitleText">
    <w:name w:val="Reverse Title Text"/>
    <w:basedOn w:val="BodyText"/>
    <w:link w:val="ReverseTitleTextChar"/>
    <w:qFormat/>
    <w:rsid w:val="00F6736A"/>
    <w:pPr>
      <w:spacing w:before="0" w:after="40"/>
    </w:pPr>
    <w:rPr>
      <w:noProof/>
      <w:sz w:val="16"/>
    </w:rPr>
  </w:style>
  <w:style w:type="character" w:customStyle="1" w:styleId="ReverseTitleTextChar">
    <w:name w:val="Reverse Title Text Char"/>
    <w:link w:val="ReverseTitleText"/>
    <w:rsid w:val="00F6736A"/>
    <w:rPr>
      <w:rFonts w:ascii="Arial" w:hAnsi="Arial"/>
      <w:noProof/>
      <w:sz w:val="16"/>
    </w:rPr>
  </w:style>
  <w:style w:type="paragraph" w:customStyle="1" w:styleId="TableText">
    <w:name w:val="Table Text"/>
    <w:rsid w:val="00CD3033"/>
    <w:pPr>
      <w:tabs>
        <w:tab w:val="left" w:pos="709"/>
      </w:tabs>
      <w:spacing w:before="60" w:after="60"/>
    </w:pPr>
    <w:rPr>
      <w:rFonts w:ascii="Arial" w:hAnsi="Arial"/>
      <w:sz w:val="18"/>
      <w:lang w:eastAsia="en-AU"/>
    </w:rPr>
  </w:style>
  <w:style w:type="paragraph" w:customStyle="1" w:styleId="TableHeading">
    <w:name w:val="Table Heading"/>
    <w:basedOn w:val="TableText"/>
    <w:rsid w:val="00CD3033"/>
    <w:pPr>
      <w:tabs>
        <w:tab w:val="clear" w:pos="709"/>
      </w:tabs>
    </w:pPr>
    <w:rPr>
      <w:b/>
      <w:bCs/>
      <w:iCs/>
      <w:color w:val="FFFFFF" w:themeColor="background1"/>
      <w:lang w:eastAsia="en-US"/>
    </w:rPr>
  </w:style>
  <w:style w:type="paragraph" w:customStyle="1" w:styleId="text">
    <w:name w:val="text"/>
    <w:basedOn w:val="Normal"/>
    <w:rsid w:val="005A3014"/>
    <w:pPr>
      <w:spacing w:before="120"/>
    </w:pPr>
    <w:rPr>
      <w:rFonts w:ascii="Arial" w:hAnsi="Arial"/>
      <w:sz w:val="20"/>
      <w:szCs w:val="20"/>
      <w:lang w:eastAsia="en-US"/>
    </w:rPr>
  </w:style>
  <w:style w:type="paragraph" w:customStyle="1" w:styleId="BodyText1">
    <w:name w:val="Body Text1"/>
    <w:rsid w:val="00DF329B"/>
    <w:pPr>
      <w:keepLines/>
      <w:spacing w:after="120" w:line="220" w:lineRule="atLeast"/>
    </w:pPr>
    <w:rPr>
      <w:lang w:val="en-GB"/>
    </w:rPr>
  </w:style>
  <w:style w:type="paragraph" w:customStyle="1" w:styleId="Tablebullets">
    <w:name w:val="Table bullets"/>
    <w:basedOn w:val="TableText"/>
    <w:rsid w:val="006B47CC"/>
    <w:pPr>
      <w:tabs>
        <w:tab w:val="clear" w:pos="709"/>
        <w:tab w:val="num" w:pos="1072"/>
      </w:tabs>
      <w:ind w:left="1072" w:hanging="358"/>
    </w:pPr>
    <w:rPr>
      <w:rFonts w:ascii="Times New Roman" w:hAnsi="Times New Roman"/>
      <w:sz w:val="20"/>
      <w:lang w:eastAsia="en-US"/>
    </w:rPr>
  </w:style>
  <w:style w:type="paragraph" w:customStyle="1" w:styleId="Bullets">
    <w:name w:val="Bullets"/>
    <w:basedOn w:val="Normal"/>
    <w:rsid w:val="00D537E2"/>
    <w:pPr>
      <w:numPr>
        <w:numId w:val="18"/>
      </w:numPr>
      <w:tabs>
        <w:tab w:val="left" w:pos="720"/>
        <w:tab w:val="left" w:pos="1440"/>
        <w:tab w:val="right" w:leader="underscore" w:pos="9630"/>
      </w:tabs>
      <w:spacing w:after="120"/>
    </w:pPr>
    <w:rPr>
      <w:sz w:val="22"/>
      <w:szCs w:val="20"/>
      <w:lang w:eastAsia="en-US"/>
    </w:rPr>
  </w:style>
  <w:style w:type="paragraph" w:styleId="Revision">
    <w:name w:val="Revision"/>
    <w:hidden/>
    <w:uiPriority w:val="71"/>
    <w:rsid w:val="00482B62"/>
    <w:rPr>
      <w:rFonts w:ascii="Arial" w:hAnsi="Arial"/>
    </w:rPr>
  </w:style>
  <w:style w:type="table" w:styleId="TableElegant">
    <w:name w:val="Table Elegant"/>
    <w:basedOn w:val="TableNormal"/>
    <w:uiPriority w:val="99"/>
    <w:unhideWhenUsed/>
    <w:rsid w:val="00F90563"/>
    <w:pPr>
      <w:spacing w:after="160" w:line="259" w:lineRule="auto"/>
    </w:pPr>
    <w:rPr>
      <w:rFonts w:asciiTheme="minorHAnsi" w:eastAsiaTheme="minorHAnsi" w:hAnsiTheme="minorHAnsi"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5974">
      <w:bodyDiv w:val="1"/>
      <w:marLeft w:val="0"/>
      <w:marRight w:val="0"/>
      <w:marTop w:val="0"/>
      <w:marBottom w:val="0"/>
      <w:divBdr>
        <w:top w:val="none" w:sz="0" w:space="0" w:color="auto"/>
        <w:left w:val="none" w:sz="0" w:space="0" w:color="auto"/>
        <w:bottom w:val="none" w:sz="0" w:space="0" w:color="auto"/>
        <w:right w:val="none" w:sz="0" w:space="0" w:color="auto"/>
      </w:divBdr>
    </w:div>
    <w:div w:id="17780108">
      <w:bodyDiv w:val="1"/>
      <w:marLeft w:val="0"/>
      <w:marRight w:val="0"/>
      <w:marTop w:val="0"/>
      <w:marBottom w:val="0"/>
      <w:divBdr>
        <w:top w:val="none" w:sz="0" w:space="0" w:color="auto"/>
        <w:left w:val="none" w:sz="0" w:space="0" w:color="auto"/>
        <w:bottom w:val="none" w:sz="0" w:space="0" w:color="auto"/>
        <w:right w:val="none" w:sz="0" w:space="0" w:color="auto"/>
      </w:divBdr>
    </w:div>
    <w:div w:id="40256742">
      <w:bodyDiv w:val="1"/>
      <w:marLeft w:val="0"/>
      <w:marRight w:val="0"/>
      <w:marTop w:val="0"/>
      <w:marBottom w:val="0"/>
      <w:divBdr>
        <w:top w:val="none" w:sz="0" w:space="0" w:color="auto"/>
        <w:left w:val="none" w:sz="0" w:space="0" w:color="auto"/>
        <w:bottom w:val="none" w:sz="0" w:space="0" w:color="auto"/>
        <w:right w:val="none" w:sz="0" w:space="0" w:color="auto"/>
      </w:divBdr>
    </w:div>
    <w:div w:id="76099458">
      <w:bodyDiv w:val="1"/>
      <w:marLeft w:val="0"/>
      <w:marRight w:val="0"/>
      <w:marTop w:val="0"/>
      <w:marBottom w:val="0"/>
      <w:divBdr>
        <w:top w:val="none" w:sz="0" w:space="0" w:color="auto"/>
        <w:left w:val="none" w:sz="0" w:space="0" w:color="auto"/>
        <w:bottom w:val="none" w:sz="0" w:space="0" w:color="auto"/>
        <w:right w:val="none" w:sz="0" w:space="0" w:color="auto"/>
      </w:divBdr>
    </w:div>
    <w:div w:id="91243027">
      <w:bodyDiv w:val="1"/>
      <w:marLeft w:val="0"/>
      <w:marRight w:val="0"/>
      <w:marTop w:val="0"/>
      <w:marBottom w:val="0"/>
      <w:divBdr>
        <w:top w:val="none" w:sz="0" w:space="0" w:color="auto"/>
        <w:left w:val="none" w:sz="0" w:space="0" w:color="auto"/>
        <w:bottom w:val="none" w:sz="0" w:space="0" w:color="auto"/>
        <w:right w:val="none" w:sz="0" w:space="0" w:color="auto"/>
      </w:divBdr>
    </w:div>
    <w:div w:id="97069512">
      <w:bodyDiv w:val="1"/>
      <w:marLeft w:val="0"/>
      <w:marRight w:val="0"/>
      <w:marTop w:val="0"/>
      <w:marBottom w:val="0"/>
      <w:divBdr>
        <w:top w:val="none" w:sz="0" w:space="0" w:color="auto"/>
        <w:left w:val="none" w:sz="0" w:space="0" w:color="auto"/>
        <w:bottom w:val="none" w:sz="0" w:space="0" w:color="auto"/>
        <w:right w:val="none" w:sz="0" w:space="0" w:color="auto"/>
      </w:divBdr>
    </w:div>
    <w:div w:id="107773387">
      <w:bodyDiv w:val="1"/>
      <w:marLeft w:val="0"/>
      <w:marRight w:val="0"/>
      <w:marTop w:val="0"/>
      <w:marBottom w:val="0"/>
      <w:divBdr>
        <w:top w:val="none" w:sz="0" w:space="0" w:color="auto"/>
        <w:left w:val="none" w:sz="0" w:space="0" w:color="auto"/>
        <w:bottom w:val="none" w:sz="0" w:space="0" w:color="auto"/>
        <w:right w:val="none" w:sz="0" w:space="0" w:color="auto"/>
      </w:divBdr>
    </w:div>
    <w:div w:id="110321741">
      <w:bodyDiv w:val="1"/>
      <w:marLeft w:val="0"/>
      <w:marRight w:val="0"/>
      <w:marTop w:val="0"/>
      <w:marBottom w:val="0"/>
      <w:divBdr>
        <w:top w:val="none" w:sz="0" w:space="0" w:color="auto"/>
        <w:left w:val="none" w:sz="0" w:space="0" w:color="auto"/>
        <w:bottom w:val="none" w:sz="0" w:space="0" w:color="auto"/>
        <w:right w:val="none" w:sz="0" w:space="0" w:color="auto"/>
      </w:divBdr>
    </w:div>
    <w:div w:id="126826988">
      <w:bodyDiv w:val="1"/>
      <w:marLeft w:val="0"/>
      <w:marRight w:val="0"/>
      <w:marTop w:val="0"/>
      <w:marBottom w:val="0"/>
      <w:divBdr>
        <w:top w:val="none" w:sz="0" w:space="0" w:color="auto"/>
        <w:left w:val="none" w:sz="0" w:space="0" w:color="auto"/>
        <w:bottom w:val="none" w:sz="0" w:space="0" w:color="auto"/>
        <w:right w:val="none" w:sz="0" w:space="0" w:color="auto"/>
      </w:divBdr>
    </w:div>
    <w:div w:id="130103803">
      <w:bodyDiv w:val="1"/>
      <w:marLeft w:val="0"/>
      <w:marRight w:val="0"/>
      <w:marTop w:val="0"/>
      <w:marBottom w:val="0"/>
      <w:divBdr>
        <w:top w:val="none" w:sz="0" w:space="0" w:color="auto"/>
        <w:left w:val="none" w:sz="0" w:space="0" w:color="auto"/>
        <w:bottom w:val="none" w:sz="0" w:space="0" w:color="auto"/>
        <w:right w:val="none" w:sz="0" w:space="0" w:color="auto"/>
      </w:divBdr>
    </w:div>
    <w:div w:id="133450953">
      <w:bodyDiv w:val="1"/>
      <w:marLeft w:val="0"/>
      <w:marRight w:val="0"/>
      <w:marTop w:val="0"/>
      <w:marBottom w:val="0"/>
      <w:divBdr>
        <w:top w:val="none" w:sz="0" w:space="0" w:color="auto"/>
        <w:left w:val="none" w:sz="0" w:space="0" w:color="auto"/>
        <w:bottom w:val="none" w:sz="0" w:space="0" w:color="auto"/>
        <w:right w:val="none" w:sz="0" w:space="0" w:color="auto"/>
      </w:divBdr>
    </w:div>
    <w:div w:id="177545046">
      <w:bodyDiv w:val="1"/>
      <w:marLeft w:val="0"/>
      <w:marRight w:val="0"/>
      <w:marTop w:val="0"/>
      <w:marBottom w:val="0"/>
      <w:divBdr>
        <w:top w:val="none" w:sz="0" w:space="0" w:color="auto"/>
        <w:left w:val="none" w:sz="0" w:space="0" w:color="auto"/>
        <w:bottom w:val="none" w:sz="0" w:space="0" w:color="auto"/>
        <w:right w:val="none" w:sz="0" w:space="0" w:color="auto"/>
      </w:divBdr>
    </w:div>
    <w:div w:id="180316628">
      <w:bodyDiv w:val="1"/>
      <w:marLeft w:val="0"/>
      <w:marRight w:val="0"/>
      <w:marTop w:val="0"/>
      <w:marBottom w:val="0"/>
      <w:divBdr>
        <w:top w:val="none" w:sz="0" w:space="0" w:color="auto"/>
        <w:left w:val="none" w:sz="0" w:space="0" w:color="auto"/>
        <w:bottom w:val="none" w:sz="0" w:space="0" w:color="auto"/>
        <w:right w:val="none" w:sz="0" w:space="0" w:color="auto"/>
      </w:divBdr>
    </w:div>
    <w:div w:id="192429570">
      <w:bodyDiv w:val="1"/>
      <w:marLeft w:val="0"/>
      <w:marRight w:val="0"/>
      <w:marTop w:val="0"/>
      <w:marBottom w:val="0"/>
      <w:divBdr>
        <w:top w:val="none" w:sz="0" w:space="0" w:color="auto"/>
        <w:left w:val="none" w:sz="0" w:space="0" w:color="auto"/>
        <w:bottom w:val="none" w:sz="0" w:space="0" w:color="auto"/>
        <w:right w:val="none" w:sz="0" w:space="0" w:color="auto"/>
      </w:divBdr>
    </w:div>
    <w:div w:id="198781715">
      <w:bodyDiv w:val="1"/>
      <w:marLeft w:val="0"/>
      <w:marRight w:val="0"/>
      <w:marTop w:val="0"/>
      <w:marBottom w:val="0"/>
      <w:divBdr>
        <w:top w:val="none" w:sz="0" w:space="0" w:color="auto"/>
        <w:left w:val="none" w:sz="0" w:space="0" w:color="auto"/>
        <w:bottom w:val="none" w:sz="0" w:space="0" w:color="auto"/>
        <w:right w:val="none" w:sz="0" w:space="0" w:color="auto"/>
      </w:divBdr>
    </w:div>
    <w:div w:id="207881329">
      <w:bodyDiv w:val="1"/>
      <w:marLeft w:val="0"/>
      <w:marRight w:val="0"/>
      <w:marTop w:val="0"/>
      <w:marBottom w:val="0"/>
      <w:divBdr>
        <w:top w:val="none" w:sz="0" w:space="0" w:color="auto"/>
        <w:left w:val="none" w:sz="0" w:space="0" w:color="auto"/>
        <w:bottom w:val="none" w:sz="0" w:space="0" w:color="auto"/>
        <w:right w:val="none" w:sz="0" w:space="0" w:color="auto"/>
      </w:divBdr>
    </w:div>
    <w:div w:id="283119261">
      <w:bodyDiv w:val="1"/>
      <w:marLeft w:val="0"/>
      <w:marRight w:val="0"/>
      <w:marTop w:val="0"/>
      <w:marBottom w:val="0"/>
      <w:divBdr>
        <w:top w:val="none" w:sz="0" w:space="0" w:color="auto"/>
        <w:left w:val="none" w:sz="0" w:space="0" w:color="auto"/>
        <w:bottom w:val="none" w:sz="0" w:space="0" w:color="auto"/>
        <w:right w:val="none" w:sz="0" w:space="0" w:color="auto"/>
      </w:divBdr>
    </w:div>
    <w:div w:id="287516215">
      <w:bodyDiv w:val="1"/>
      <w:marLeft w:val="0"/>
      <w:marRight w:val="0"/>
      <w:marTop w:val="0"/>
      <w:marBottom w:val="0"/>
      <w:divBdr>
        <w:top w:val="none" w:sz="0" w:space="0" w:color="auto"/>
        <w:left w:val="none" w:sz="0" w:space="0" w:color="auto"/>
        <w:bottom w:val="none" w:sz="0" w:space="0" w:color="auto"/>
        <w:right w:val="none" w:sz="0" w:space="0" w:color="auto"/>
      </w:divBdr>
    </w:div>
    <w:div w:id="298920212">
      <w:bodyDiv w:val="1"/>
      <w:marLeft w:val="0"/>
      <w:marRight w:val="0"/>
      <w:marTop w:val="0"/>
      <w:marBottom w:val="0"/>
      <w:divBdr>
        <w:top w:val="none" w:sz="0" w:space="0" w:color="auto"/>
        <w:left w:val="none" w:sz="0" w:space="0" w:color="auto"/>
        <w:bottom w:val="none" w:sz="0" w:space="0" w:color="auto"/>
        <w:right w:val="none" w:sz="0" w:space="0" w:color="auto"/>
      </w:divBdr>
    </w:div>
    <w:div w:id="302127078">
      <w:bodyDiv w:val="1"/>
      <w:marLeft w:val="0"/>
      <w:marRight w:val="0"/>
      <w:marTop w:val="0"/>
      <w:marBottom w:val="0"/>
      <w:divBdr>
        <w:top w:val="none" w:sz="0" w:space="0" w:color="auto"/>
        <w:left w:val="none" w:sz="0" w:space="0" w:color="auto"/>
        <w:bottom w:val="none" w:sz="0" w:space="0" w:color="auto"/>
        <w:right w:val="none" w:sz="0" w:space="0" w:color="auto"/>
      </w:divBdr>
    </w:div>
    <w:div w:id="303200394">
      <w:bodyDiv w:val="1"/>
      <w:marLeft w:val="0"/>
      <w:marRight w:val="0"/>
      <w:marTop w:val="0"/>
      <w:marBottom w:val="0"/>
      <w:divBdr>
        <w:top w:val="none" w:sz="0" w:space="0" w:color="auto"/>
        <w:left w:val="none" w:sz="0" w:space="0" w:color="auto"/>
        <w:bottom w:val="none" w:sz="0" w:space="0" w:color="auto"/>
        <w:right w:val="none" w:sz="0" w:space="0" w:color="auto"/>
      </w:divBdr>
    </w:div>
    <w:div w:id="329482223">
      <w:bodyDiv w:val="1"/>
      <w:marLeft w:val="0"/>
      <w:marRight w:val="0"/>
      <w:marTop w:val="0"/>
      <w:marBottom w:val="0"/>
      <w:divBdr>
        <w:top w:val="none" w:sz="0" w:space="0" w:color="auto"/>
        <w:left w:val="none" w:sz="0" w:space="0" w:color="auto"/>
        <w:bottom w:val="none" w:sz="0" w:space="0" w:color="auto"/>
        <w:right w:val="none" w:sz="0" w:space="0" w:color="auto"/>
      </w:divBdr>
    </w:div>
    <w:div w:id="407070984">
      <w:bodyDiv w:val="1"/>
      <w:marLeft w:val="0"/>
      <w:marRight w:val="0"/>
      <w:marTop w:val="0"/>
      <w:marBottom w:val="0"/>
      <w:divBdr>
        <w:top w:val="none" w:sz="0" w:space="0" w:color="auto"/>
        <w:left w:val="none" w:sz="0" w:space="0" w:color="auto"/>
        <w:bottom w:val="none" w:sz="0" w:space="0" w:color="auto"/>
        <w:right w:val="none" w:sz="0" w:space="0" w:color="auto"/>
      </w:divBdr>
    </w:div>
    <w:div w:id="409080896">
      <w:bodyDiv w:val="1"/>
      <w:marLeft w:val="0"/>
      <w:marRight w:val="0"/>
      <w:marTop w:val="0"/>
      <w:marBottom w:val="0"/>
      <w:divBdr>
        <w:top w:val="none" w:sz="0" w:space="0" w:color="auto"/>
        <w:left w:val="none" w:sz="0" w:space="0" w:color="auto"/>
        <w:bottom w:val="none" w:sz="0" w:space="0" w:color="auto"/>
        <w:right w:val="none" w:sz="0" w:space="0" w:color="auto"/>
      </w:divBdr>
    </w:div>
    <w:div w:id="410661996">
      <w:bodyDiv w:val="1"/>
      <w:marLeft w:val="0"/>
      <w:marRight w:val="0"/>
      <w:marTop w:val="0"/>
      <w:marBottom w:val="0"/>
      <w:divBdr>
        <w:top w:val="none" w:sz="0" w:space="0" w:color="auto"/>
        <w:left w:val="none" w:sz="0" w:space="0" w:color="auto"/>
        <w:bottom w:val="none" w:sz="0" w:space="0" w:color="auto"/>
        <w:right w:val="none" w:sz="0" w:space="0" w:color="auto"/>
      </w:divBdr>
    </w:div>
    <w:div w:id="435560376">
      <w:bodyDiv w:val="1"/>
      <w:marLeft w:val="0"/>
      <w:marRight w:val="0"/>
      <w:marTop w:val="0"/>
      <w:marBottom w:val="0"/>
      <w:divBdr>
        <w:top w:val="none" w:sz="0" w:space="0" w:color="auto"/>
        <w:left w:val="none" w:sz="0" w:space="0" w:color="auto"/>
        <w:bottom w:val="none" w:sz="0" w:space="0" w:color="auto"/>
        <w:right w:val="none" w:sz="0" w:space="0" w:color="auto"/>
      </w:divBdr>
    </w:div>
    <w:div w:id="448401944">
      <w:bodyDiv w:val="1"/>
      <w:marLeft w:val="0"/>
      <w:marRight w:val="0"/>
      <w:marTop w:val="0"/>
      <w:marBottom w:val="0"/>
      <w:divBdr>
        <w:top w:val="none" w:sz="0" w:space="0" w:color="auto"/>
        <w:left w:val="none" w:sz="0" w:space="0" w:color="auto"/>
        <w:bottom w:val="none" w:sz="0" w:space="0" w:color="auto"/>
        <w:right w:val="none" w:sz="0" w:space="0" w:color="auto"/>
      </w:divBdr>
    </w:div>
    <w:div w:id="479082593">
      <w:bodyDiv w:val="1"/>
      <w:marLeft w:val="0"/>
      <w:marRight w:val="0"/>
      <w:marTop w:val="0"/>
      <w:marBottom w:val="0"/>
      <w:divBdr>
        <w:top w:val="none" w:sz="0" w:space="0" w:color="auto"/>
        <w:left w:val="none" w:sz="0" w:space="0" w:color="auto"/>
        <w:bottom w:val="none" w:sz="0" w:space="0" w:color="auto"/>
        <w:right w:val="none" w:sz="0" w:space="0" w:color="auto"/>
      </w:divBdr>
    </w:div>
    <w:div w:id="492768194">
      <w:bodyDiv w:val="1"/>
      <w:marLeft w:val="0"/>
      <w:marRight w:val="0"/>
      <w:marTop w:val="0"/>
      <w:marBottom w:val="0"/>
      <w:divBdr>
        <w:top w:val="none" w:sz="0" w:space="0" w:color="auto"/>
        <w:left w:val="none" w:sz="0" w:space="0" w:color="auto"/>
        <w:bottom w:val="none" w:sz="0" w:space="0" w:color="auto"/>
        <w:right w:val="none" w:sz="0" w:space="0" w:color="auto"/>
      </w:divBdr>
    </w:div>
    <w:div w:id="558128499">
      <w:bodyDiv w:val="1"/>
      <w:marLeft w:val="0"/>
      <w:marRight w:val="0"/>
      <w:marTop w:val="0"/>
      <w:marBottom w:val="0"/>
      <w:divBdr>
        <w:top w:val="none" w:sz="0" w:space="0" w:color="auto"/>
        <w:left w:val="none" w:sz="0" w:space="0" w:color="auto"/>
        <w:bottom w:val="none" w:sz="0" w:space="0" w:color="auto"/>
        <w:right w:val="none" w:sz="0" w:space="0" w:color="auto"/>
      </w:divBdr>
    </w:div>
    <w:div w:id="583535394">
      <w:bodyDiv w:val="1"/>
      <w:marLeft w:val="0"/>
      <w:marRight w:val="0"/>
      <w:marTop w:val="0"/>
      <w:marBottom w:val="0"/>
      <w:divBdr>
        <w:top w:val="none" w:sz="0" w:space="0" w:color="auto"/>
        <w:left w:val="none" w:sz="0" w:space="0" w:color="auto"/>
        <w:bottom w:val="none" w:sz="0" w:space="0" w:color="auto"/>
        <w:right w:val="none" w:sz="0" w:space="0" w:color="auto"/>
      </w:divBdr>
    </w:div>
    <w:div w:id="585458953">
      <w:bodyDiv w:val="1"/>
      <w:marLeft w:val="0"/>
      <w:marRight w:val="0"/>
      <w:marTop w:val="0"/>
      <w:marBottom w:val="0"/>
      <w:divBdr>
        <w:top w:val="none" w:sz="0" w:space="0" w:color="auto"/>
        <w:left w:val="none" w:sz="0" w:space="0" w:color="auto"/>
        <w:bottom w:val="none" w:sz="0" w:space="0" w:color="auto"/>
        <w:right w:val="none" w:sz="0" w:space="0" w:color="auto"/>
      </w:divBdr>
    </w:div>
    <w:div w:id="632255340">
      <w:bodyDiv w:val="1"/>
      <w:marLeft w:val="0"/>
      <w:marRight w:val="0"/>
      <w:marTop w:val="0"/>
      <w:marBottom w:val="0"/>
      <w:divBdr>
        <w:top w:val="none" w:sz="0" w:space="0" w:color="auto"/>
        <w:left w:val="none" w:sz="0" w:space="0" w:color="auto"/>
        <w:bottom w:val="none" w:sz="0" w:space="0" w:color="auto"/>
        <w:right w:val="none" w:sz="0" w:space="0" w:color="auto"/>
      </w:divBdr>
    </w:div>
    <w:div w:id="641234524">
      <w:bodyDiv w:val="1"/>
      <w:marLeft w:val="0"/>
      <w:marRight w:val="0"/>
      <w:marTop w:val="0"/>
      <w:marBottom w:val="0"/>
      <w:divBdr>
        <w:top w:val="none" w:sz="0" w:space="0" w:color="auto"/>
        <w:left w:val="none" w:sz="0" w:space="0" w:color="auto"/>
        <w:bottom w:val="none" w:sz="0" w:space="0" w:color="auto"/>
        <w:right w:val="none" w:sz="0" w:space="0" w:color="auto"/>
      </w:divBdr>
    </w:div>
    <w:div w:id="642202438">
      <w:bodyDiv w:val="1"/>
      <w:marLeft w:val="0"/>
      <w:marRight w:val="0"/>
      <w:marTop w:val="0"/>
      <w:marBottom w:val="0"/>
      <w:divBdr>
        <w:top w:val="none" w:sz="0" w:space="0" w:color="auto"/>
        <w:left w:val="none" w:sz="0" w:space="0" w:color="auto"/>
        <w:bottom w:val="none" w:sz="0" w:space="0" w:color="auto"/>
        <w:right w:val="none" w:sz="0" w:space="0" w:color="auto"/>
      </w:divBdr>
    </w:div>
    <w:div w:id="650869264">
      <w:bodyDiv w:val="1"/>
      <w:marLeft w:val="0"/>
      <w:marRight w:val="0"/>
      <w:marTop w:val="0"/>
      <w:marBottom w:val="0"/>
      <w:divBdr>
        <w:top w:val="none" w:sz="0" w:space="0" w:color="auto"/>
        <w:left w:val="none" w:sz="0" w:space="0" w:color="auto"/>
        <w:bottom w:val="none" w:sz="0" w:space="0" w:color="auto"/>
        <w:right w:val="none" w:sz="0" w:space="0" w:color="auto"/>
      </w:divBdr>
    </w:div>
    <w:div w:id="700666120">
      <w:bodyDiv w:val="1"/>
      <w:marLeft w:val="0"/>
      <w:marRight w:val="0"/>
      <w:marTop w:val="0"/>
      <w:marBottom w:val="0"/>
      <w:divBdr>
        <w:top w:val="none" w:sz="0" w:space="0" w:color="auto"/>
        <w:left w:val="none" w:sz="0" w:space="0" w:color="auto"/>
        <w:bottom w:val="none" w:sz="0" w:space="0" w:color="auto"/>
        <w:right w:val="none" w:sz="0" w:space="0" w:color="auto"/>
      </w:divBdr>
    </w:div>
    <w:div w:id="711030159">
      <w:bodyDiv w:val="1"/>
      <w:marLeft w:val="0"/>
      <w:marRight w:val="0"/>
      <w:marTop w:val="0"/>
      <w:marBottom w:val="0"/>
      <w:divBdr>
        <w:top w:val="none" w:sz="0" w:space="0" w:color="auto"/>
        <w:left w:val="none" w:sz="0" w:space="0" w:color="auto"/>
        <w:bottom w:val="none" w:sz="0" w:space="0" w:color="auto"/>
        <w:right w:val="none" w:sz="0" w:space="0" w:color="auto"/>
      </w:divBdr>
    </w:div>
    <w:div w:id="726805475">
      <w:bodyDiv w:val="1"/>
      <w:marLeft w:val="0"/>
      <w:marRight w:val="0"/>
      <w:marTop w:val="0"/>
      <w:marBottom w:val="0"/>
      <w:divBdr>
        <w:top w:val="none" w:sz="0" w:space="0" w:color="auto"/>
        <w:left w:val="none" w:sz="0" w:space="0" w:color="auto"/>
        <w:bottom w:val="none" w:sz="0" w:space="0" w:color="auto"/>
        <w:right w:val="none" w:sz="0" w:space="0" w:color="auto"/>
      </w:divBdr>
    </w:div>
    <w:div w:id="730037482">
      <w:bodyDiv w:val="1"/>
      <w:marLeft w:val="0"/>
      <w:marRight w:val="0"/>
      <w:marTop w:val="0"/>
      <w:marBottom w:val="0"/>
      <w:divBdr>
        <w:top w:val="none" w:sz="0" w:space="0" w:color="auto"/>
        <w:left w:val="none" w:sz="0" w:space="0" w:color="auto"/>
        <w:bottom w:val="none" w:sz="0" w:space="0" w:color="auto"/>
        <w:right w:val="none" w:sz="0" w:space="0" w:color="auto"/>
      </w:divBdr>
    </w:div>
    <w:div w:id="752319844">
      <w:bodyDiv w:val="1"/>
      <w:marLeft w:val="0"/>
      <w:marRight w:val="0"/>
      <w:marTop w:val="0"/>
      <w:marBottom w:val="0"/>
      <w:divBdr>
        <w:top w:val="none" w:sz="0" w:space="0" w:color="auto"/>
        <w:left w:val="none" w:sz="0" w:space="0" w:color="auto"/>
        <w:bottom w:val="none" w:sz="0" w:space="0" w:color="auto"/>
        <w:right w:val="none" w:sz="0" w:space="0" w:color="auto"/>
      </w:divBdr>
    </w:div>
    <w:div w:id="760446127">
      <w:bodyDiv w:val="1"/>
      <w:marLeft w:val="0"/>
      <w:marRight w:val="0"/>
      <w:marTop w:val="0"/>
      <w:marBottom w:val="0"/>
      <w:divBdr>
        <w:top w:val="none" w:sz="0" w:space="0" w:color="auto"/>
        <w:left w:val="none" w:sz="0" w:space="0" w:color="auto"/>
        <w:bottom w:val="none" w:sz="0" w:space="0" w:color="auto"/>
        <w:right w:val="none" w:sz="0" w:space="0" w:color="auto"/>
      </w:divBdr>
    </w:div>
    <w:div w:id="762800349">
      <w:bodyDiv w:val="1"/>
      <w:marLeft w:val="0"/>
      <w:marRight w:val="0"/>
      <w:marTop w:val="0"/>
      <w:marBottom w:val="0"/>
      <w:divBdr>
        <w:top w:val="none" w:sz="0" w:space="0" w:color="auto"/>
        <w:left w:val="none" w:sz="0" w:space="0" w:color="auto"/>
        <w:bottom w:val="none" w:sz="0" w:space="0" w:color="auto"/>
        <w:right w:val="none" w:sz="0" w:space="0" w:color="auto"/>
      </w:divBdr>
    </w:div>
    <w:div w:id="772439300">
      <w:bodyDiv w:val="1"/>
      <w:marLeft w:val="0"/>
      <w:marRight w:val="0"/>
      <w:marTop w:val="0"/>
      <w:marBottom w:val="0"/>
      <w:divBdr>
        <w:top w:val="none" w:sz="0" w:space="0" w:color="auto"/>
        <w:left w:val="none" w:sz="0" w:space="0" w:color="auto"/>
        <w:bottom w:val="none" w:sz="0" w:space="0" w:color="auto"/>
        <w:right w:val="none" w:sz="0" w:space="0" w:color="auto"/>
      </w:divBdr>
    </w:div>
    <w:div w:id="779371566">
      <w:bodyDiv w:val="1"/>
      <w:marLeft w:val="0"/>
      <w:marRight w:val="0"/>
      <w:marTop w:val="0"/>
      <w:marBottom w:val="0"/>
      <w:divBdr>
        <w:top w:val="none" w:sz="0" w:space="0" w:color="auto"/>
        <w:left w:val="none" w:sz="0" w:space="0" w:color="auto"/>
        <w:bottom w:val="none" w:sz="0" w:space="0" w:color="auto"/>
        <w:right w:val="none" w:sz="0" w:space="0" w:color="auto"/>
      </w:divBdr>
    </w:div>
    <w:div w:id="787164361">
      <w:bodyDiv w:val="1"/>
      <w:marLeft w:val="0"/>
      <w:marRight w:val="0"/>
      <w:marTop w:val="0"/>
      <w:marBottom w:val="0"/>
      <w:divBdr>
        <w:top w:val="none" w:sz="0" w:space="0" w:color="auto"/>
        <w:left w:val="none" w:sz="0" w:space="0" w:color="auto"/>
        <w:bottom w:val="none" w:sz="0" w:space="0" w:color="auto"/>
        <w:right w:val="none" w:sz="0" w:space="0" w:color="auto"/>
      </w:divBdr>
    </w:div>
    <w:div w:id="791167893">
      <w:bodyDiv w:val="1"/>
      <w:marLeft w:val="0"/>
      <w:marRight w:val="0"/>
      <w:marTop w:val="0"/>
      <w:marBottom w:val="0"/>
      <w:divBdr>
        <w:top w:val="none" w:sz="0" w:space="0" w:color="auto"/>
        <w:left w:val="none" w:sz="0" w:space="0" w:color="auto"/>
        <w:bottom w:val="none" w:sz="0" w:space="0" w:color="auto"/>
        <w:right w:val="none" w:sz="0" w:space="0" w:color="auto"/>
      </w:divBdr>
    </w:div>
    <w:div w:id="804272640">
      <w:bodyDiv w:val="1"/>
      <w:marLeft w:val="0"/>
      <w:marRight w:val="0"/>
      <w:marTop w:val="0"/>
      <w:marBottom w:val="0"/>
      <w:divBdr>
        <w:top w:val="none" w:sz="0" w:space="0" w:color="auto"/>
        <w:left w:val="none" w:sz="0" w:space="0" w:color="auto"/>
        <w:bottom w:val="none" w:sz="0" w:space="0" w:color="auto"/>
        <w:right w:val="none" w:sz="0" w:space="0" w:color="auto"/>
      </w:divBdr>
    </w:div>
    <w:div w:id="807478521">
      <w:bodyDiv w:val="1"/>
      <w:marLeft w:val="0"/>
      <w:marRight w:val="0"/>
      <w:marTop w:val="0"/>
      <w:marBottom w:val="0"/>
      <w:divBdr>
        <w:top w:val="none" w:sz="0" w:space="0" w:color="auto"/>
        <w:left w:val="none" w:sz="0" w:space="0" w:color="auto"/>
        <w:bottom w:val="none" w:sz="0" w:space="0" w:color="auto"/>
        <w:right w:val="none" w:sz="0" w:space="0" w:color="auto"/>
      </w:divBdr>
    </w:div>
    <w:div w:id="811408836">
      <w:bodyDiv w:val="1"/>
      <w:marLeft w:val="0"/>
      <w:marRight w:val="0"/>
      <w:marTop w:val="0"/>
      <w:marBottom w:val="0"/>
      <w:divBdr>
        <w:top w:val="none" w:sz="0" w:space="0" w:color="auto"/>
        <w:left w:val="none" w:sz="0" w:space="0" w:color="auto"/>
        <w:bottom w:val="none" w:sz="0" w:space="0" w:color="auto"/>
        <w:right w:val="none" w:sz="0" w:space="0" w:color="auto"/>
      </w:divBdr>
    </w:div>
    <w:div w:id="843282598">
      <w:bodyDiv w:val="1"/>
      <w:marLeft w:val="0"/>
      <w:marRight w:val="0"/>
      <w:marTop w:val="0"/>
      <w:marBottom w:val="0"/>
      <w:divBdr>
        <w:top w:val="none" w:sz="0" w:space="0" w:color="auto"/>
        <w:left w:val="none" w:sz="0" w:space="0" w:color="auto"/>
        <w:bottom w:val="none" w:sz="0" w:space="0" w:color="auto"/>
        <w:right w:val="none" w:sz="0" w:space="0" w:color="auto"/>
      </w:divBdr>
    </w:div>
    <w:div w:id="861668658">
      <w:bodyDiv w:val="1"/>
      <w:marLeft w:val="0"/>
      <w:marRight w:val="0"/>
      <w:marTop w:val="0"/>
      <w:marBottom w:val="0"/>
      <w:divBdr>
        <w:top w:val="none" w:sz="0" w:space="0" w:color="auto"/>
        <w:left w:val="none" w:sz="0" w:space="0" w:color="auto"/>
        <w:bottom w:val="none" w:sz="0" w:space="0" w:color="auto"/>
        <w:right w:val="none" w:sz="0" w:space="0" w:color="auto"/>
      </w:divBdr>
    </w:div>
    <w:div w:id="864370778">
      <w:bodyDiv w:val="1"/>
      <w:marLeft w:val="0"/>
      <w:marRight w:val="0"/>
      <w:marTop w:val="0"/>
      <w:marBottom w:val="0"/>
      <w:divBdr>
        <w:top w:val="none" w:sz="0" w:space="0" w:color="auto"/>
        <w:left w:val="none" w:sz="0" w:space="0" w:color="auto"/>
        <w:bottom w:val="none" w:sz="0" w:space="0" w:color="auto"/>
        <w:right w:val="none" w:sz="0" w:space="0" w:color="auto"/>
      </w:divBdr>
    </w:div>
    <w:div w:id="877670699">
      <w:bodyDiv w:val="1"/>
      <w:marLeft w:val="0"/>
      <w:marRight w:val="0"/>
      <w:marTop w:val="0"/>
      <w:marBottom w:val="0"/>
      <w:divBdr>
        <w:top w:val="none" w:sz="0" w:space="0" w:color="auto"/>
        <w:left w:val="none" w:sz="0" w:space="0" w:color="auto"/>
        <w:bottom w:val="none" w:sz="0" w:space="0" w:color="auto"/>
        <w:right w:val="none" w:sz="0" w:space="0" w:color="auto"/>
      </w:divBdr>
    </w:div>
    <w:div w:id="880170832">
      <w:bodyDiv w:val="1"/>
      <w:marLeft w:val="0"/>
      <w:marRight w:val="0"/>
      <w:marTop w:val="0"/>
      <w:marBottom w:val="0"/>
      <w:divBdr>
        <w:top w:val="none" w:sz="0" w:space="0" w:color="auto"/>
        <w:left w:val="none" w:sz="0" w:space="0" w:color="auto"/>
        <w:bottom w:val="none" w:sz="0" w:space="0" w:color="auto"/>
        <w:right w:val="none" w:sz="0" w:space="0" w:color="auto"/>
      </w:divBdr>
    </w:div>
    <w:div w:id="886450176">
      <w:bodyDiv w:val="1"/>
      <w:marLeft w:val="0"/>
      <w:marRight w:val="0"/>
      <w:marTop w:val="0"/>
      <w:marBottom w:val="0"/>
      <w:divBdr>
        <w:top w:val="none" w:sz="0" w:space="0" w:color="auto"/>
        <w:left w:val="none" w:sz="0" w:space="0" w:color="auto"/>
        <w:bottom w:val="none" w:sz="0" w:space="0" w:color="auto"/>
        <w:right w:val="none" w:sz="0" w:space="0" w:color="auto"/>
      </w:divBdr>
    </w:div>
    <w:div w:id="904266569">
      <w:bodyDiv w:val="1"/>
      <w:marLeft w:val="0"/>
      <w:marRight w:val="0"/>
      <w:marTop w:val="0"/>
      <w:marBottom w:val="0"/>
      <w:divBdr>
        <w:top w:val="none" w:sz="0" w:space="0" w:color="auto"/>
        <w:left w:val="none" w:sz="0" w:space="0" w:color="auto"/>
        <w:bottom w:val="none" w:sz="0" w:space="0" w:color="auto"/>
        <w:right w:val="none" w:sz="0" w:space="0" w:color="auto"/>
      </w:divBdr>
    </w:div>
    <w:div w:id="907806918">
      <w:bodyDiv w:val="1"/>
      <w:marLeft w:val="0"/>
      <w:marRight w:val="0"/>
      <w:marTop w:val="0"/>
      <w:marBottom w:val="0"/>
      <w:divBdr>
        <w:top w:val="none" w:sz="0" w:space="0" w:color="auto"/>
        <w:left w:val="none" w:sz="0" w:space="0" w:color="auto"/>
        <w:bottom w:val="none" w:sz="0" w:space="0" w:color="auto"/>
        <w:right w:val="none" w:sz="0" w:space="0" w:color="auto"/>
      </w:divBdr>
    </w:div>
    <w:div w:id="909004947">
      <w:bodyDiv w:val="1"/>
      <w:marLeft w:val="0"/>
      <w:marRight w:val="0"/>
      <w:marTop w:val="0"/>
      <w:marBottom w:val="0"/>
      <w:divBdr>
        <w:top w:val="none" w:sz="0" w:space="0" w:color="auto"/>
        <w:left w:val="none" w:sz="0" w:space="0" w:color="auto"/>
        <w:bottom w:val="none" w:sz="0" w:space="0" w:color="auto"/>
        <w:right w:val="none" w:sz="0" w:space="0" w:color="auto"/>
      </w:divBdr>
    </w:div>
    <w:div w:id="910196072">
      <w:bodyDiv w:val="1"/>
      <w:marLeft w:val="0"/>
      <w:marRight w:val="0"/>
      <w:marTop w:val="0"/>
      <w:marBottom w:val="0"/>
      <w:divBdr>
        <w:top w:val="none" w:sz="0" w:space="0" w:color="auto"/>
        <w:left w:val="none" w:sz="0" w:space="0" w:color="auto"/>
        <w:bottom w:val="none" w:sz="0" w:space="0" w:color="auto"/>
        <w:right w:val="none" w:sz="0" w:space="0" w:color="auto"/>
      </w:divBdr>
    </w:div>
    <w:div w:id="918948053">
      <w:bodyDiv w:val="1"/>
      <w:marLeft w:val="0"/>
      <w:marRight w:val="0"/>
      <w:marTop w:val="0"/>
      <w:marBottom w:val="0"/>
      <w:divBdr>
        <w:top w:val="none" w:sz="0" w:space="0" w:color="auto"/>
        <w:left w:val="none" w:sz="0" w:space="0" w:color="auto"/>
        <w:bottom w:val="none" w:sz="0" w:space="0" w:color="auto"/>
        <w:right w:val="none" w:sz="0" w:space="0" w:color="auto"/>
      </w:divBdr>
    </w:div>
    <w:div w:id="924151380">
      <w:bodyDiv w:val="1"/>
      <w:marLeft w:val="0"/>
      <w:marRight w:val="0"/>
      <w:marTop w:val="0"/>
      <w:marBottom w:val="0"/>
      <w:divBdr>
        <w:top w:val="none" w:sz="0" w:space="0" w:color="auto"/>
        <w:left w:val="none" w:sz="0" w:space="0" w:color="auto"/>
        <w:bottom w:val="none" w:sz="0" w:space="0" w:color="auto"/>
        <w:right w:val="none" w:sz="0" w:space="0" w:color="auto"/>
      </w:divBdr>
    </w:div>
    <w:div w:id="926614297">
      <w:bodyDiv w:val="1"/>
      <w:marLeft w:val="0"/>
      <w:marRight w:val="0"/>
      <w:marTop w:val="0"/>
      <w:marBottom w:val="0"/>
      <w:divBdr>
        <w:top w:val="none" w:sz="0" w:space="0" w:color="auto"/>
        <w:left w:val="none" w:sz="0" w:space="0" w:color="auto"/>
        <w:bottom w:val="none" w:sz="0" w:space="0" w:color="auto"/>
        <w:right w:val="none" w:sz="0" w:space="0" w:color="auto"/>
      </w:divBdr>
    </w:div>
    <w:div w:id="946237788">
      <w:bodyDiv w:val="1"/>
      <w:marLeft w:val="0"/>
      <w:marRight w:val="0"/>
      <w:marTop w:val="0"/>
      <w:marBottom w:val="0"/>
      <w:divBdr>
        <w:top w:val="none" w:sz="0" w:space="0" w:color="auto"/>
        <w:left w:val="none" w:sz="0" w:space="0" w:color="auto"/>
        <w:bottom w:val="none" w:sz="0" w:space="0" w:color="auto"/>
        <w:right w:val="none" w:sz="0" w:space="0" w:color="auto"/>
      </w:divBdr>
    </w:div>
    <w:div w:id="954406324">
      <w:bodyDiv w:val="1"/>
      <w:marLeft w:val="0"/>
      <w:marRight w:val="0"/>
      <w:marTop w:val="0"/>
      <w:marBottom w:val="0"/>
      <w:divBdr>
        <w:top w:val="none" w:sz="0" w:space="0" w:color="auto"/>
        <w:left w:val="none" w:sz="0" w:space="0" w:color="auto"/>
        <w:bottom w:val="none" w:sz="0" w:space="0" w:color="auto"/>
        <w:right w:val="none" w:sz="0" w:space="0" w:color="auto"/>
      </w:divBdr>
    </w:div>
    <w:div w:id="962536678">
      <w:bodyDiv w:val="1"/>
      <w:marLeft w:val="0"/>
      <w:marRight w:val="0"/>
      <w:marTop w:val="0"/>
      <w:marBottom w:val="0"/>
      <w:divBdr>
        <w:top w:val="none" w:sz="0" w:space="0" w:color="auto"/>
        <w:left w:val="none" w:sz="0" w:space="0" w:color="auto"/>
        <w:bottom w:val="none" w:sz="0" w:space="0" w:color="auto"/>
        <w:right w:val="none" w:sz="0" w:space="0" w:color="auto"/>
      </w:divBdr>
    </w:div>
    <w:div w:id="963652640">
      <w:bodyDiv w:val="1"/>
      <w:marLeft w:val="0"/>
      <w:marRight w:val="0"/>
      <w:marTop w:val="0"/>
      <w:marBottom w:val="0"/>
      <w:divBdr>
        <w:top w:val="none" w:sz="0" w:space="0" w:color="auto"/>
        <w:left w:val="none" w:sz="0" w:space="0" w:color="auto"/>
        <w:bottom w:val="none" w:sz="0" w:space="0" w:color="auto"/>
        <w:right w:val="none" w:sz="0" w:space="0" w:color="auto"/>
      </w:divBdr>
    </w:div>
    <w:div w:id="982151712">
      <w:bodyDiv w:val="1"/>
      <w:marLeft w:val="0"/>
      <w:marRight w:val="0"/>
      <w:marTop w:val="0"/>
      <w:marBottom w:val="0"/>
      <w:divBdr>
        <w:top w:val="none" w:sz="0" w:space="0" w:color="auto"/>
        <w:left w:val="none" w:sz="0" w:space="0" w:color="auto"/>
        <w:bottom w:val="none" w:sz="0" w:space="0" w:color="auto"/>
        <w:right w:val="none" w:sz="0" w:space="0" w:color="auto"/>
      </w:divBdr>
    </w:div>
    <w:div w:id="988172046">
      <w:bodyDiv w:val="1"/>
      <w:marLeft w:val="0"/>
      <w:marRight w:val="0"/>
      <w:marTop w:val="0"/>
      <w:marBottom w:val="0"/>
      <w:divBdr>
        <w:top w:val="none" w:sz="0" w:space="0" w:color="auto"/>
        <w:left w:val="none" w:sz="0" w:space="0" w:color="auto"/>
        <w:bottom w:val="none" w:sz="0" w:space="0" w:color="auto"/>
        <w:right w:val="none" w:sz="0" w:space="0" w:color="auto"/>
      </w:divBdr>
    </w:div>
    <w:div w:id="992374605">
      <w:bodyDiv w:val="1"/>
      <w:marLeft w:val="0"/>
      <w:marRight w:val="0"/>
      <w:marTop w:val="0"/>
      <w:marBottom w:val="0"/>
      <w:divBdr>
        <w:top w:val="none" w:sz="0" w:space="0" w:color="auto"/>
        <w:left w:val="none" w:sz="0" w:space="0" w:color="auto"/>
        <w:bottom w:val="none" w:sz="0" w:space="0" w:color="auto"/>
        <w:right w:val="none" w:sz="0" w:space="0" w:color="auto"/>
      </w:divBdr>
    </w:div>
    <w:div w:id="1004167382">
      <w:bodyDiv w:val="1"/>
      <w:marLeft w:val="0"/>
      <w:marRight w:val="0"/>
      <w:marTop w:val="0"/>
      <w:marBottom w:val="0"/>
      <w:divBdr>
        <w:top w:val="none" w:sz="0" w:space="0" w:color="auto"/>
        <w:left w:val="none" w:sz="0" w:space="0" w:color="auto"/>
        <w:bottom w:val="none" w:sz="0" w:space="0" w:color="auto"/>
        <w:right w:val="none" w:sz="0" w:space="0" w:color="auto"/>
      </w:divBdr>
    </w:div>
    <w:div w:id="1006594205">
      <w:bodyDiv w:val="1"/>
      <w:marLeft w:val="0"/>
      <w:marRight w:val="0"/>
      <w:marTop w:val="0"/>
      <w:marBottom w:val="0"/>
      <w:divBdr>
        <w:top w:val="none" w:sz="0" w:space="0" w:color="auto"/>
        <w:left w:val="none" w:sz="0" w:space="0" w:color="auto"/>
        <w:bottom w:val="none" w:sz="0" w:space="0" w:color="auto"/>
        <w:right w:val="none" w:sz="0" w:space="0" w:color="auto"/>
      </w:divBdr>
    </w:div>
    <w:div w:id="1035689733">
      <w:bodyDiv w:val="1"/>
      <w:marLeft w:val="0"/>
      <w:marRight w:val="0"/>
      <w:marTop w:val="0"/>
      <w:marBottom w:val="0"/>
      <w:divBdr>
        <w:top w:val="none" w:sz="0" w:space="0" w:color="auto"/>
        <w:left w:val="none" w:sz="0" w:space="0" w:color="auto"/>
        <w:bottom w:val="none" w:sz="0" w:space="0" w:color="auto"/>
        <w:right w:val="none" w:sz="0" w:space="0" w:color="auto"/>
      </w:divBdr>
    </w:div>
    <w:div w:id="1036392831">
      <w:bodyDiv w:val="1"/>
      <w:marLeft w:val="0"/>
      <w:marRight w:val="0"/>
      <w:marTop w:val="0"/>
      <w:marBottom w:val="0"/>
      <w:divBdr>
        <w:top w:val="none" w:sz="0" w:space="0" w:color="auto"/>
        <w:left w:val="none" w:sz="0" w:space="0" w:color="auto"/>
        <w:bottom w:val="none" w:sz="0" w:space="0" w:color="auto"/>
        <w:right w:val="none" w:sz="0" w:space="0" w:color="auto"/>
      </w:divBdr>
    </w:div>
    <w:div w:id="1036586847">
      <w:bodyDiv w:val="1"/>
      <w:marLeft w:val="0"/>
      <w:marRight w:val="0"/>
      <w:marTop w:val="0"/>
      <w:marBottom w:val="0"/>
      <w:divBdr>
        <w:top w:val="none" w:sz="0" w:space="0" w:color="auto"/>
        <w:left w:val="none" w:sz="0" w:space="0" w:color="auto"/>
        <w:bottom w:val="none" w:sz="0" w:space="0" w:color="auto"/>
        <w:right w:val="none" w:sz="0" w:space="0" w:color="auto"/>
      </w:divBdr>
    </w:div>
    <w:div w:id="1036656352">
      <w:bodyDiv w:val="1"/>
      <w:marLeft w:val="0"/>
      <w:marRight w:val="0"/>
      <w:marTop w:val="0"/>
      <w:marBottom w:val="0"/>
      <w:divBdr>
        <w:top w:val="none" w:sz="0" w:space="0" w:color="auto"/>
        <w:left w:val="none" w:sz="0" w:space="0" w:color="auto"/>
        <w:bottom w:val="none" w:sz="0" w:space="0" w:color="auto"/>
        <w:right w:val="none" w:sz="0" w:space="0" w:color="auto"/>
      </w:divBdr>
    </w:div>
    <w:div w:id="1056709864">
      <w:bodyDiv w:val="1"/>
      <w:marLeft w:val="0"/>
      <w:marRight w:val="0"/>
      <w:marTop w:val="0"/>
      <w:marBottom w:val="0"/>
      <w:divBdr>
        <w:top w:val="none" w:sz="0" w:space="0" w:color="auto"/>
        <w:left w:val="none" w:sz="0" w:space="0" w:color="auto"/>
        <w:bottom w:val="none" w:sz="0" w:space="0" w:color="auto"/>
        <w:right w:val="none" w:sz="0" w:space="0" w:color="auto"/>
      </w:divBdr>
    </w:div>
    <w:div w:id="1081171543">
      <w:bodyDiv w:val="1"/>
      <w:marLeft w:val="0"/>
      <w:marRight w:val="0"/>
      <w:marTop w:val="0"/>
      <w:marBottom w:val="0"/>
      <w:divBdr>
        <w:top w:val="none" w:sz="0" w:space="0" w:color="auto"/>
        <w:left w:val="none" w:sz="0" w:space="0" w:color="auto"/>
        <w:bottom w:val="none" w:sz="0" w:space="0" w:color="auto"/>
        <w:right w:val="none" w:sz="0" w:space="0" w:color="auto"/>
      </w:divBdr>
    </w:div>
    <w:div w:id="1083068376">
      <w:bodyDiv w:val="1"/>
      <w:marLeft w:val="0"/>
      <w:marRight w:val="0"/>
      <w:marTop w:val="0"/>
      <w:marBottom w:val="0"/>
      <w:divBdr>
        <w:top w:val="none" w:sz="0" w:space="0" w:color="auto"/>
        <w:left w:val="none" w:sz="0" w:space="0" w:color="auto"/>
        <w:bottom w:val="none" w:sz="0" w:space="0" w:color="auto"/>
        <w:right w:val="none" w:sz="0" w:space="0" w:color="auto"/>
      </w:divBdr>
    </w:div>
    <w:div w:id="1085876583">
      <w:bodyDiv w:val="1"/>
      <w:marLeft w:val="0"/>
      <w:marRight w:val="0"/>
      <w:marTop w:val="0"/>
      <w:marBottom w:val="0"/>
      <w:divBdr>
        <w:top w:val="none" w:sz="0" w:space="0" w:color="auto"/>
        <w:left w:val="none" w:sz="0" w:space="0" w:color="auto"/>
        <w:bottom w:val="none" w:sz="0" w:space="0" w:color="auto"/>
        <w:right w:val="none" w:sz="0" w:space="0" w:color="auto"/>
      </w:divBdr>
    </w:div>
    <w:div w:id="1088621934">
      <w:bodyDiv w:val="1"/>
      <w:marLeft w:val="0"/>
      <w:marRight w:val="0"/>
      <w:marTop w:val="0"/>
      <w:marBottom w:val="0"/>
      <w:divBdr>
        <w:top w:val="none" w:sz="0" w:space="0" w:color="auto"/>
        <w:left w:val="none" w:sz="0" w:space="0" w:color="auto"/>
        <w:bottom w:val="none" w:sz="0" w:space="0" w:color="auto"/>
        <w:right w:val="none" w:sz="0" w:space="0" w:color="auto"/>
      </w:divBdr>
    </w:div>
    <w:div w:id="1093433108">
      <w:bodyDiv w:val="1"/>
      <w:marLeft w:val="0"/>
      <w:marRight w:val="0"/>
      <w:marTop w:val="0"/>
      <w:marBottom w:val="0"/>
      <w:divBdr>
        <w:top w:val="none" w:sz="0" w:space="0" w:color="auto"/>
        <w:left w:val="none" w:sz="0" w:space="0" w:color="auto"/>
        <w:bottom w:val="none" w:sz="0" w:space="0" w:color="auto"/>
        <w:right w:val="none" w:sz="0" w:space="0" w:color="auto"/>
      </w:divBdr>
    </w:div>
    <w:div w:id="1107580448">
      <w:bodyDiv w:val="1"/>
      <w:marLeft w:val="0"/>
      <w:marRight w:val="0"/>
      <w:marTop w:val="0"/>
      <w:marBottom w:val="0"/>
      <w:divBdr>
        <w:top w:val="none" w:sz="0" w:space="0" w:color="auto"/>
        <w:left w:val="none" w:sz="0" w:space="0" w:color="auto"/>
        <w:bottom w:val="none" w:sz="0" w:space="0" w:color="auto"/>
        <w:right w:val="none" w:sz="0" w:space="0" w:color="auto"/>
      </w:divBdr>
    </w:div>
    <w:div w:id="1123694404">
      <w:bodyDiv w:val="1"/>
      <w:marLeft w:val="0"/>
      <w:marRight w:val="0"/>
      <w:marTop w:val="0"/>
      <w:marBottom w:val="0"/>
      <w:divBdr>
        <w:top w:val="none" w:sz="0" w:space="0" w:color="auto"/>
        <w:left w:val="none" w:sz="0" w:space="0" w:color="auto"/>
        <w:bottom w:val="none" w:sz="0" w:space="0" w:color="auto"/>
        <w:right w:val="none" w:sz="0" w:space="0" w:color="auto"/>
      </w:divBdr>
    </w:div>
    <w:div w:id="1139565718">
      <w:bodyDiv w:val="1"/>
      <w:marLeft w:val="0"/>
      <w:marRight w:val="0"/>
      <w:marTop w:val="0"/>
      <w:marBottom w:val="0"/>
      <w:divBdr>
        <w:top w:val="none" w:sz="0" w:space="0" w:color="auto"/>
        <w:left w:val="none" w:sz="0" w:space="0" w:color="auto"/>
        <w:bottom w:val="none" w:sz="0" w:space="0" w:color="auto"/>
        <w:right w:val="none" w:sz="0" w:space="0" w:color="auto"/>
      </w:divBdr>
    </w:div>
    <w:div w:id="1152794585">
      <w:bodyDiv w:val="1"/>
      <w:marLeft w:val="0"/>
      <w:marRight w:val="0"/>
      <w:marTop w:val="0"/>
      <w:marBottom w:val="0"/>
      <w:divBdr>
        <w:top w:val="none" w:sz="0" w:space="0" w:color="auto"/>
        <w:left w:val="none" w:sz="0" w:space="0" w:color="auto"/>
        <w:bottom w:val="none" w:sz="0" w:space="0" w:color="auto"/>
        <w:right w:val="none" w:sz="0" w:space="0" w:color="auto"/>
      </w:divBdr>
    </w:div>
    <w:div w:id="1155611739">
      <w:bodyDiv w:val="1"/>
      <w:marLeft w:val="0"/>
      <w:marRight w:val="0"/>
      <w:marTop w:val="0"/>
      <w:marBottom w:val="0"/>
      <w:divBdr>
        <w:top w:val="none" w:sz="0" w:space="0" w:color="auto"/>
        <w:left w:val="none" w:sz="0" w:space="0" w:color="auto"/>
        <w:bottom w:val="none" w:sz="0" w:space="0" w:color="auto"/>
        <w:right w:val="none" w:sz="0" w:space="0" w:color="auto"/>
      </w:divBdr>
    </w:div>
    <w:div w:id="1161507308">
      <w:bodyDiv w:val="1"/>
      <w:marLeft w:val="0"/>
      <w:marRight w:val="0"/>
      <w:marTop w:val="0"/>
      <w:marBottom w:val="0"/>
      <w:divBdr>
        <w:top w:val="none" w:sz="0" w:space="0" w:color="auto"/>
        <w:left w:val="none" w:sz="0" w:space="0" w:color="auto"/>
        <w:bottom w:val="none" w:sz="0" w:space="0" w:color="auto"/>
        <w:right w:val="none" w:sz="0" w:space="0" w:color="auto"/>
      </w:divBdr>
    </w:div>
    <w:div w:id="1166825378">
      <w:bodyDiv w:val="1"/>
      <w:marLeft w:val="0"/>
      <w:marRight w:val="0"/>
      <w:marTop w:val="0"/>
      <w:marBottom w:val="0"/>
      <w:divBdr>
        <w:top w:val="none" w:sz="0" w:space="0" w:color="auto"/>
        <w:left w:val="none" w:sz="0" w:space="0" w:color="auto"/>
        <w:bottom w:val="none" w:sz="0" w:space="0" w:color="auto"/>
        <w:right w:val="none" w:sz="0" w:space="0" w:color="auto"/>
      </w:divBdr>
    </w:div>
    <w:div w:id="1178076249">
      <w:bodyDiv w:val="1"/>
      <w:marLeft w:val="0"/>
      <w:marRight w:val="0"/>
      <w:marTop w:val="0"/>
      <w:marBottom w:val="0"/>
      <w:divBdr>
        <w:top w:val="none" w:sz="0" w:space="0" w:color="auto"/>
        <w:left w:val="none" w:sz="0" w:space="0" w:color="auto"/>
        <w:bottom w:val="none" w:sz="0" w:space="0" w:color="auto"/>
        <w:right w:val="none" w:sz="0" w:space="0" w:color="auto"/>
      </w:divBdr>
    </w:div>
    <w:div w:id="1197309702">
      <w:bodyDiv w:val="1"/>
      <w:marLeft w:val="0"/>
      <w:marRight w:val="0"/>
      <w:marTop w:val="0"/>
      <w:marBottom w:val="0"/>
      <w:divBdr>
        <w:top w:val="none" w:sz="0" w:space="0" w:color="auto"/>
        <w:left w:val="none" w:sz="0" w:space="0" w:color="auto"/>
        <w:bottom w:val="none" w:sz="0" w:space="0" w:color="auto"/>
        <w:right w:val="none" w:sz="0" w:space="0" w:color="auto"/>
      </w:divBdr>
    </w:div>
    <w:div w:id="1208032896">
      <w:bodyDiv w:val="1"/>
      <w:marLeft w:val="0"/>
      <w:marRight w:val="0"/>
      <w:marTop w:val="0"/>
      <w:marBottom w:val="0"/>
      <w:divBdr>
        <w:top w:val="none" w:sz="0" w:space="0" w:color="auto"/>
        <w:left w:val="none" w:sz="0" w:space="0" w:color="auto"/>
        <w:bottom w:val="none" w:sz="0" w:space="0" w:color="auto"/>
        <w:right w:val="none" w:sz="0" w:space="0" w:color="auto"/>
      </w:divBdr>
    </w:div>
    <w:div w:id="1221332484">
      <w:bodyDiv w:val="1"/>
      <w:marLeft w:val="0"/>
      <w:marRight w:val="0"/>
      <w:marTop w:val="0"/>
      <w:marBottom w:val="0"/>
      <w:divBdr>
        <w:top w:val="none" w:sz="0" w:space="0" w:color="auto"/>
        <w:left w:val="none" w:sz="0" w:space="0" w:color="auto"/>
        <w:bottom w:val="none" w:sz="0" w:space="0" w:color="auto"/>
        <w:right w:val="none" w:sz="0" w:space="0" w:color="auto"/>
      </w:divBdr>
    </w:div>
    <w:div w:id="1221792580">
      <w:bodyDiv w:val="1"/>
      <w:marLeft w:val="0"/>
      <w:marRight w:val="0"/>
      <w:marTop w:val="0"/>
      <w:marBottom w:val="0"/>
      <w:divBdr>
        <w:top w:val="none" w:sz="0" w:space="0" w:color="auto"/>
        <w:left w:val="none" w:sz="0" w:space="0" w:color="auto"/>
        <w:bottom w:val="none" w:sz="0" w:space="0" w:color="auto"/>
        <w:right w:val="none" w:sz="0" w:space="0" w:color="auto"/>
      </w:divBdr>
    </w:div>
    <w:div w:id="1224366550">
      <w:bodyDiv w:val="1"/>
      <w:marLeft w:val="0"/>
      <w:marRight w:val="0"/>
      <w:marTop w:val="0"/>
      <w:marBottom w:val="0"/>
      <w:divBdr>
        <w:top w:val="none" w:sz="0" w:space="0" w:color="auto"/>
        <w:left w:val="none" w:sz="0" w:space="0" w:color="auto"/>
        <w:bottom w:val="none" w:sz="0" w:space="0" w:color="auto"/>
        <w:right w:val="none" w:sz="0" w:space="0" w:color="auto"/>
      </w:divBdr>
    </w:div>
    <w:div w:id="1231189466">
      <w:bodyDiv w:val="1"/>
      <w:marLeft w:val="0"/>
      <w:marRight w:val="0"/>
      <w:marTop w:val="0"/>
      <w:marBottom w:val="0"/>
      <w:divBdr>
        <w:top w:val="none" w:sz="0" w:space="0" w:color="auto"/>
        <w:left w:val="none" w:sz="0" w:space="0" w:color="auto"/>
        <w:bottom w:val="none" w:sz="0" w:space="0" w:color="auto"/>
        <w:right w:val="none" w:sz="0" w:space="0" w:color="auto"/>
      </w:divBdr>
    </w:div>
    <w:div w:id="1249465953">
      <w:bodyDiv w:val="1"/>
      <w:marLeft w:val="0"/>
      <w:marRight w:val="0"/>
      <w:marTop w:val="0"/>
      <w:marBottom w:val="0"/>
      <w:divBdr>
        <w:top w:val="none" w:sz="0" w:space="0" w:color="auto"/>
        <w:left w:val="none" w:sz="0" w:space="0" w:color="auto"/>
        <w:bottom w:val="none" w:sz="0" w:space="0" w:color="auto"/>
        <w:right w:val="none" w:sz="0" w:space="0" w:color="auto"/>
      </w:divBdr>
    </w:div>
    <w:div w:id="1253511087">
      <w:bodyDiv w:val="1"/>
      <w:marLeft w:val="0"/>
      <w:marRight w:val="0"/>
      <w:marTop w:val="0"/>
      <w:marBottom w:val="0"/>
      <w:divBdr>
        <w:top w:val="none" w:sz="0" w:space="0" w:color="auto"/>
        <w:left w:val="none" w:sz="0" w:space="0" w:color="auto"/>
        <w:bottom w:val="none" w:sz="0" w:space="0" w:color="auto"/>
        <w:right w:val="none" w:sz="0" w:space="0" w:color="auto"/>
      </w:divBdr>
    </w:div>
    <w:div w:id="1269698729">
      <w:bodyDiv w:val="1"/>
      <w:marLeft w:val="0"/>
      <w:marRight w:val="0"/>
      <w:marTop w:val="0"/>
      <w:marBottom w:val="0"/>
      <w:divBdr>
        <w:top w:val="none" w:sz="0" w:space="0" w:color="auto"/>
        <w:left w:val="none" w:sz="0" w:space="0" w:color="auto"/>
        <w:bottom w:val="none" w:sz="0" w:space="0" w:color="auto"/>
        <w:right w:val="none" w:sz="0" w:space="0" w:color="auto"/>
      </w:divBdr>
    </w:div>
    <w:div w:id="1277830013">
      <w:bodyDiv w:val="1"/>
      <w:marLeft w:val="0"/>
      <w:marRight w:val="0"/>
      <w:marTop w:val="0"/>
      <w:marBottom w:val="0"/>
      <w:divBdr>
        <w:top w:val="none" w:sz="0" w:space="0" w:color="auto"/>
        <w:left w:val="none" w:sz="0" w:space="0" w:color="auto"/>
        <w:bottom w:val="none" w:sz="0" w:space="0" w:color="auto"/>
        <w:right w:val="none" w:sz="0" w:space="0" w:color="auto"/>
      </w:divBdr>
    </w:div>
    <w:div w:id="1296909344">
      <w:bodyDiv w:val="1"/>
      <w:marLeft w:val="0"/>
      <w:marRight w:val="0"/>
      <w:marTop w:val="0"/>
      <w:marBottom w:val="0"/>
      <w:divBdr>
        <w:top w:val="none" w:sz="0" w:space="0" w:color="auto"/>
        <w:left w:val="none" w:sz="0" w:space="0" w:color="auto"/>
        <w:bottom w:val="none" w:sz="0" w:space="0" w:color="auto"/>
        <w:right w:val="none" w:sz="0" w:space="0" w:color="auto"/>
      </w:divBdr>
    </w:div>
    <w:div w:id="1307470785">
      <w:bodyDiv w:val="1"/>
      <w:marLeft w:val="0"/>
      <w:marRight w:val="0"/>
      <w:marTop w:val="0"/>
      <w:marBottom w:val="0"/>
      <w:divBdr>
        <w:top w:val="none" w:sz="0" w:space="0" w:color="auto"/>
        <w:left w:val="none" w:sz="0" w:space="0" w:color="auto"/>
        <w:bottom w:val="none" w:sz="0" w:space="0" w:color="auto"/>
        <w:right w:val="none" w:sz="0" w:space="0" w:color="auto"/>
      </w:divBdr>
    </w:div>
    <w:div w:id="1319576878">
      <w:bodyDiv w:val="1"/>
      <w:marLeft w:val="0"/>
      <w:marRight w:val="0"/>
      <w:marTop w:val="0"/>
      <w:marBottom w:val="0"/>
      <w:divBdr>
        <w:top w:val="none" w:sz="0" w:space="0" w:color="auto"/>
        <w:left w:val="none" w:sz="0" w:space="0" w:color="auto"/>
        <w:bottom w:val="none" w:sz="0" w:space="0" w:color="auto"/>
        <w:right w:val="none" w:sz="0" w:space="0" w:color="auto"/>
      </w:divBdr>
    </w:div>
    <w:div w:id="1327628629">
      <w:bodyDiv w:val="1"/>
      <w:marLeft w:val="0"/>
      <w:marRight w:val="0"/>
      <w:marTop w:val="0"/>
      <w:marBottom w:val="0"/>
      <w:divBdr>
        <w:top w:val="none" w:sz="0" w:space="0" w:color="auto"/>
        <w:left w:val="none" w:sz="0" w:space="0" w:color="auto"/>
        <w:bottom w:val="none" w:sz="0" w:space="0" w:color="auto"/>
        <w:right w:val="none" w:sz="0" w:space="0" w:color="auto"/>
      </w:divBdr>
    </w:div>
    <w:div w:id="1348217395">
      <w:bodyDiv w:val="1"/>
      <w:marLeft w:val="0"/>
      <w:marRight w:val="0"/>
      <w:marTop w:val="0"/>
      <w:marBottom w:val="0"/>
      <w:divBdr>
        <w:top w:val="none" w:sz="0" w:space="0" w:color="auto"/>
        <w:left w:val="none" w:sz="0" w:space="0" w:color="auto"/>
        <w:bottom w:val="none" w:sz="0" w:space="0" w:color="auto"/>
        <w:right w:val="none" w:sz="0" w:space="0" w:color="auto"/>
      </w:divBdr>
    </w:div>
    <w:div w:id="1356422939">
      <w:bodyDiv w:val="1"/>
      <w:marLeft w:val="0"/>
      <w:marRight w:val="0"/>
      <w:marTop w:val="0"/>
      <w:marBottom w:val="0"/>
      <w:divBdr>
        <w:top w:val="none" w:sz="0" w:space="0" w:color="auto"/>
        <w:left w:val="none" w:sz="0" w:space="0" w:color="auto"/>
        <w:bottom w:val="none" w:sz="0" w:space="0" w:color="auto"/>
        <w:right w:val="none" w:sz="0" w:space="0" w:color="auto"/>
      </w:divBdr>
    </w:div>
    <w:div w:id="1363825753">
      <w:bodyDiv w:val="1"/>
      <w:marLeft w:val="0"/>
      <w:marRight w:val="0"/>
      <w:marTop w:val="0"/>
      <w:marBottom w:val="0"/>
      <w:divBdr>
        <w:top w:val="none" w:sz="0" w:space="0" w:color="auto"/>
        <w:left w:val="none" w:sz="0" w:space="0" w:color="auto"/>
        <w:bottom w:val="none" w:sz="0" w:space="0" w:color="auto"/>
        <w:right w:val="none" w:sz="0" w:space="0" w:color="auto"/>
      </w:divBdr>
    </w:div>
    <w:div w:id="1371149126">
      <w:bodyDiv w:val="1"/>
      <w:marLeft w:val="0"/>
      <w:marRight w:val="0"/>
      <w:marTop w:val="0"/>
      <w:marBottom w:val="0"/>
      <w:divBdr>
        <w:top w:val="none" w:sz="0" w:space="0" w:color="auto"/>
        <w:left w:val="none" w:sz="0" w:space="0" w:color="auto"/>
        <w:bottom w:val="none" w:sz="0" w:space="0" w:color="auto"/>
        <w:right w:val="none" w:sz="0" w:space="0" w:color="auto"/>
      </w:divBdr>
    </w:div>
    <w:div w:id="1385830984">
      <w:bodyDiv w:val="1"/>
      <w:marLeft w:val="0"/>
      <w:marRight w:val="0"/>
      <w:marTop w:val="0"/>
      <w:marBottom w:val="0"/>
      <w:divBdr>
        <w:top w:val="none" w:sz="0" w:space="0" w:color="auto"/>
        <w:left w:val="none" w:sz="0" w:space="0" w:color="auto"/>
        <w:bottom w:val="none" w:sz="0" w:space="0" w:color="auto"/>
        <w:right w:val="none" w:sz="0" w:space="0" w:color="auto"/>
      </w:divBdr>
    </w:div>
    <w:div w:id="1406760645">
      <w:bodyDiv w:val="1"/>
      <w:marLeft w:val="0"/>
      <w:marRight w:val="0"/>
      <w:marTop w:val="0"/>
      <w:marBottom w:val="0"/>
      <w:divBdr>
        <w:top w:val="none" w:sz="0" w:space="0" w:color="auto"/>
        <w:left w:val="none" w:sz="0" w:space="0" w:color="auto"/>
        <w:bottom w:val="none" w:sz="0" w:space="0" w:color="auto"/>
        <w:right w:val="none" w:sz="0" w:space="0" w:color="auto"/>
      </w:divBdr>
    </w:div>
    <w:div w:id="1436753676">
      <w:bodyDiv w:val="1"/>
      <w:marLeft w:val="0"/>
      <w:marRight w:val="0"/>
      <w:marTop w:val="0"/>
      <w:marBottom w:val="0"/>
      <w:divBdr>
        <w:top w:val="none" w:sz="0" w:space="0" w:color="auto"/>
        <w:left w:val="none" w:sz="0" w:space="0" w:color="auto"/>
        <w:bottom w:val="none" w:sz="0" w:space="0" w:color="auto"/>
        <w:right w:val="none" w:sz="0" w:space="0" w:color="auto"/>
      </w:divBdr>
    </w:div>
    <w:div w:id="1442527694">
      <w:bodyDiv w:val="1"/>
      <w:marLeft w:val="0"/>
      <w:marRight w:val="0"/>
      <w:marTop w:val="0"/>
      <w:marBottom w:val="0"/>
      <w:divBdr>
        <w:top w:val="none" w:sz="0" w:space="0" w:color="auto"/>
        <w:left w:val="none" w:sz="0" w:space="0" w:color="auto"/>
        <w:bottom w:val="none" w:sz="0" w:space="0" w:color="auto"/>
        <w:right w:val="none" w:sz="0" w:space="0" w:color="auto"/>
      </w:divBdr>
    </w:div>
    <w:div w:id="1445154602">
      <w:bodyDiv w:val="1"/>
      <w:marLeft w:val="0"/>
      <w:marRight w:val="0"/>
      <w:marTop w:val="0"/>
      <w:marBottom w:val="0"/>
      <w:divBdr>
        <w:top w:val="none" w:sz="0" w:space="0" w:color="auto"/>
        <w:left w:val="none" w:sz="0" w:space="0" w:color="auto"/>
        <w:bottom w:val="none" w:sz="0" w:space="0" w:color="auto"/>
        <w:right w:val="none" w:sz="0" w:space="0" w:color="auto"/>
      </w:divBdr>
    </w:div>
    <w:div w:id="1450009572">
      <w:bodyDiv w:val="1"/>
      <w:marLeft w:val="0"/>
      <w:marRight w:val="0"/>
      <w:marTop w:val="0"/>
      <w:marBottom w:val="0"/>
      <w:divBdr>
        <w:top w:val="none" w:sz="0" w:space="0" w:color="auto"/>
        <w:left w:val="none" w:sz="0" w:space="0" w:color="auto"/>
        <w:bottom w:val="none" w:sz="0" w:space="0" w:color="auto"/>
        <w:right w:val="none" w:sz="0" w:space="0" w:color="auto"/>
      </w:divBdr>
    </w:div>
    <w:div w:id="1462505064">
      <w:bodyDiv w:val="1"/>
      <w:marLeft w:val="0"/>
      <w:marRight w:val="0"/>
      <w:marTop w:val="0"/>
      <w:marBottom w:val="0"/>
      <w:divBdr>
        <w:top w:val="none" w:sz="0" w:space="0" w:color="auto"/>
        <w:left w:val="none" w:sz="0" w:space="0" w:color="auto"/>
        <w:bottom w:val="none" w:sz="0" w:space="0" w:color="auto"/>
        <w:right w:val="none" w:sz="0" w:space="0" w:color="auto"/>
      </w:divBdr>
    </w:div>
    <w:div w:id="1470248747">
      <w:bodyDiv w:val="1"/>
      <w:marLeft w:val="0"/>
      <w:marRight w:val="0"/>
      <w:marTop w:val="0"/>
      <w:marBottom w:val="0"/>
      <w:divBdr>
        <w:top w:val="none" w:sz="0" w:space="0" w:color="auto"/>
        <w:left w:val="none" w:sz="0" w:space="0" w:color="auto"/>
        <w:bottom w:val="none" w:sz="0" w:space="0" w:color="auto"/>
        <w:right w:val="none" w:sz="0" w:space="0" w:color="auto"/>
      </w:divBdr>
    </w:div>
    <w:div w:id="1481457479">
      <w:bodyDiv w:val="1"/>
      <w:marLeft w:val="0"/>
      <w:marRight w:val="0"/>
      <w:marTop w:val="0"/>
      <w:marBottom w:val="0"/>
      <w:divBdr>
        <w:top w:val="none" w:sz="0" w:space="0" w:color="auto"/>
        <w:left w:val="none" w:sz="0" w:space="0" w:color="auto"/>
        <w:bottom w:val="none" w:sz="0" w:space="0" w:color="auto"/>
        <w:right w:val="none" w:sz="0" w:space="0" w:color="auto"/>
      </w:divBdr>
    </w:div>
    <w:div w:id="1481924594">
      <w:bodyDiv w:val="1"/>
      <w:marLeft w:val="0"/>
      <w:marRight w:val="0"/>
      <w:marTop w:val="0"/>
      <w:marBottom w:val="0"/>
      <w:divBdr>
        <w:top w:val="none" w:sz="0" w:space="0" w:color="auto"/>
        <w:left w:val="none" w:sz="0" w:space="0" w:color="auto"/>
        <w:bottom w:val="none" w:sz="0" w:space="0" w:color="auto"/>
        <w:right w:val="none" w:sz="0" w:space="0" w:color="auto"/>
      </w:divBdr>
    </w:div>
    <w:div w:id="1520464459">
      <w:bodyDiv w:val="1"/>
      <w:marLeft w:val="0"/>
      <w:marRight w:val="0"/>
      <w:marTop w:val="0"/>
      <w:marBottom w:val="0"/>
      <w:divBdr>
        <w:top w:val="none" w:sz="0" w:space="0" w:color="auto"/>
        <w:left w:val="none" w:sz="0" w:space="0" w:color="auto"/>
        <w:bottom w:val="none" w:sz="0" w:space="0" w:color="auto"/>
        <w:right w:val="none" w:sz="0" w:space="0" w:color="auto"/>
      </w:divBdr>
    </w:div>
    <w:div w:id="1538154695">
      <w:bodyDiv w:val="1"/>
      <w:marLeft w:val="0"/>
      <w:marRight w:val="0"/>
      <w:marTop w:val="0"/>
      <w:marBottom w:val="0"/>
      <w:divBdr>
        <w:top w:val="none" w:sz="0" w:space="0" w:color="auto"/>
        <w:left w:val="none" w:sz="0" w:space="0" w:color="auto"/>
        <w:bottom w:val="none" w:sz="0" w:space="0" w:color="auto"/>
        <w:right w:val="none" w:sz="0" w:space="0" w:color="auto"/>
      </w:divBdr>
    </w:div>
    <w:div w:id="1538739399">
      <w:bodyDiv w:val="1"/>
      <w:marLeft w:val="0"/>
      <w:marRight w:val="0"/>
      <w:marTop w:val="0"/>
      <w:marBottom w:val="0"/>
      <w:divBdr>
        <w:top w:val="none" w:sz="0" w:space="0" w:color="auto"/>
        <w:left w:val="none" w:sz="0" w:space="0" w:color="auto"/>
        <w:bottom w:val="none" w:sz="0" w:space="0" w:color="auto"/>
        <w:right w:val="none" w:sz="0" w:space="0" w:color="auto"/>
      </w:divBdr>
    </w:div>
    <w:div w:id="1556433409">
      <w:bodyDiv w:val="1"/>
      <w:marLeft w:val="0"/>
      <w:marRight w:val="0"/>
      <w:marTop w:val="0"/>
      <w:marBottom w:val="0"/>
      <w:divBdr>
        <w:top w:val="none" w:sz="0" w:space="0" w:color="auto"/>
        <w:left w:val="none" w:sz="0" w:space="0" w:color="auto"/>
        <w:bottom w:val="none" w:sz="0" w:space="0" w:color="auto"/>
        <w:right w:val="none" w:sz="0" w:space="0" w:color="auto"/>
      </w:divBdr>
    </w:div>
    <w:div w:id="1572692633">
      <w:bodyDiv w:val="1"/>
      <w:marLeft w:val="0"/>
      <w:marRight w:val="0"/>
      <w:marTop w:val="0"/>
      <w:marBottom w:val="0"/>
      <w:divBdr>
        <w:top w:val="none" w:sz="0" w:space="0" w:color="auto"/>
        <w:left w:val="none" w:sz="0" w:space="0" w:color="auto"/>
        <w:bottom w:val="none" w:sz="0" w:space="0" w:color="auto"/>
        <w:right w:val="none" w:sz="0" w:space="0" w:color="auto"/>
      </w:divBdr>
    </w:div>
    <w:div w:id="1573734295">
      <w:bodyDiv w:val="1"/>
      <w:marLeft w:val="0"/>
      <w:marRight w:val="0"/>
      <w:marTop w:val="0"/>
      <w:marBottom w:val="0"/>
      <w:divBdr>
        <w:top w:val="none" w:sz="0" w:space="0" w:color="auto"/>
        <w:left w:val="none" w:sz="0" w:space="0" w:color="auto"/>
        <w:bottom w:val="none" w:sz="0" w:space="0" w:color="auto"/>
        <w:right w:val="none" w:sz="0" w:space="0" w:color="auto"/>
      </w:divBdr>
    </w:div>
    <w:div w:id="1576164563">
      <w:bodyDiv w:val="1"/>
      <w:marLeft w:val="0"/>
      <w:marRight w:val="0"/>
      <w:marTop w:val="0"/>
      <w:marBottom w:val="0"/>
      <w:divBdr>
        <w:top w:val="none" w:sz="0" w:space="0" w:color="auto"/>
        <w:left w:val="none" w:sz="0" w:space="0" w:color="auto"/>
        <w:bottom w:val="none" w:sz="0" w:space="0" w:color="auto"/>
        <w:right w:val="none" w:sz="0" w:space="0" w:color="auto"/>
      </w:divBdr>
    </w:div>
    <w:div w:id="1578902832">
      <w:bodyDiv w:val="1"/>
      <w:marLeft w:val="0"/>
      <w:marRight w:val="0"/>
      <w:marTop w:val="0"/>
      <w:marBottom w:val="0"/>
      <w:divBdr>
        <w:top w:val="none" w:sz="0" w:space="0" w:color="auto"/>
        <w:left w:val="none" w:sz="0" w:space="0" w:color="auto"/>
        <w:bottom w:val="none" w:sz="0" w:space="0" w:color="auto"/>
        <w:right w:val="none" w:sz="0" w:space="0" w:color="auto"/>
      </w:divBdr>
    </w:div>
    <w:div w:id="1588728692">
      <w:bodyDiv w:val="1"/>
      <w:marLeft w:val="0"/>
      <w:marRight w:val="0"/>
      <w:marTop w:val="0"/>
      <w:marBottom w:val="0"/>
      <w:divBdr>
        <w:top w:val="none" w:sz="0" w:space="0" w:color="auto"/>
        <w:left w:val="none" w:sz="0" w:space="0" w:color="auto"/>
        <w:bottom w:val="none" w:sz="0" w:space="0" w:color="auto"/>
        <w:right w:val="none" w:sz="0" w:space="0" w:color="auto"/>
      </w:divBdr>
    </w:div>
    <w:div w:id="1612124384">
      <w:bodyDiv w:val="1"/>
      <w:marLeft w:val="0"/>
      <w:marRight w:val="0"/>
      <w:marTop w:val="0"/>
      <w:marBottom w:val="0"/>
      <w:divBdr>
        <w:top w:val="none" w:sz="0" w:space="0" w:color="auto"/>
        <w:left w:val="none" w:sz="0" w:space="0" w:color="auto"/>
        <w:bottom w:val="none" w:sz="0" w:space="0" w:color="auto"/>
        <w:right w:val="none" w:sz="0" w:space="0" w:color="auto"/>
      </w:divBdr>
    </w:div>
    <w:div w:id="1624732183">
      <w:bodyDiv w:val="1"/>
      <w:marLeft w:val="0"/>
      <w:marRight w:val="0"/>
      <w:marTop w:val="0"/>
      <w:marBottom w:val="0"/>
      <w:divBdr>
        <w:top w:val="none" w:sz="0" w:space="0" w:color="auto"/>
        <w:left w:val="none" w:sz="0" w:space="0" w:color="auto"/>
        <w:bottom w:val="none" w:sz="0" w:space="0" w:color="auto"/>
        <w:right w:val="none" w:sz="0" w:space="0" w:color="auto"/>
      </w:divBdr>
    </w:div>
    <w:div w:id="1625504479">
      <w:bodyDiv w:val="1"/>
      <w:marLeft w:val="0"/>
      <w:marRight w:val="0"/>
      <w:marTop w:val="0"/>
      <w:marBottom w:val="0"/>
      <w:divBdr>
        <w:top w:val="none" w:sz="0" w:space="0" w:color="auto"/>
        <w:left w:val="none" w:sz="0" w:space="0" w:color="auto"/>
        <w:bottom w:val="none" w:sz="0" w:space="0" w:color="auto"/>
        <w:right w:val="none" w:sz="0" w:space="0" w:color="auto"/>
      </w:divBdr>
    </w:div>
    <w:div w:id="1653212341">
      <w:bodyDiv w:val="1"/>
      <w:marLeft w:val="0"/>
      <w:marRight w:val="0"/>
      <w:marTop w:val="0"/>
      <w:marBottom w:val="0"/>
      <w:divBdr>
        <w:top w:val="none" w:sz="0" w:space="0" w:color="auto"/>
        <w:left w:val="none" w:sz="0" w:space="0" w:color="auto"/>
        <w:bottom w:val="none" w:sz="0" w:space="0" w:color="auto"/>
        <w:right w:val="none" w:sz="0" w:space="0" w:color="auto"/>
      </w:divBdr>
    </w:div>
    <w:div w:id="1680499716">
      <w:bodyDiv w:val="1"/>
      <w:marLeft w:val="0"/>
      <w:marRight w:val="0"/>
      <w:marTop w:val="0"/>
      <w:marBottom w:val="0"/>
      <w:divBdr>
        <w:top w:val="none" w:sz="0" w:space="0" w:color="auto"/>
        <w:left w:val="none" w:sz="0" w:space="0" w:color="auto"/>
        <w:bottom w:val="none" w:sz="0" w:space="0" w:color="auto"/>
        <w:right w:val="none" w:sz="0" w:space="0" w:color="auto"/>
      </w:divBdr>
    </w:div>
    <w:div w:id="1701314821">
      <w:bodyDiv w:val="1"/>
      <w:marLeft w:val="0"/>
      <w:marRight w:val="0"/>
      <w:marTop w:val="0"/>
      <w:marBottom w:val="0"/>
      <w:divBdr>
        <w:top w:val="none" w:sz="0" w:space="0" w:color="auto"/>
        <w:left w:val="none" w:sz="0" w:space="0" w:color="auto"/>
        <w:bottom w:val="none" w:sz="0" w:space="0" w:color="auto"/>
        <w:right w:val="none" w:sz="0" w:space="0" w:color="auto"/>
      </w:divBdr>
    </w:div>
    <w:div w:id="1714453658">
      <w:bodyDiv w:val="1"/>
      <w:marLeft w:val="0"/>
      <w:marRight w:val="0"/>
      <w:marTop w:val="0"/>
      <w:marBottom w:val="0"/>
      <w:divBdr>
        <w:top w:val="none" w:sz="0" w:space="0" w:color="auto"/>
        <w:left w:val="none" w:sz="0" w:space="0" w:color="auto"/>
        <w:bottom w:val="none" w:sz="0" w:space="0" w:color="auto"/>
        <w:right w:val="none" w:sz="0" w:space="0" w:color="auto"/>
      </w:divBdr>
    </w:div>
    <w:div w:id="1718972991">
      <w:bodyDiv w:val="1"/>
      <w:marLeft w:val="0"/>
      <w:marRight w:val="0"/>
      <w:marTop w:val="0"/>
      <w:marBottom w:val="0"/>
      <w:divBdr>
        <w:top w:val="none" w:sz="0" w:space="0" w:color="auto"/>
        <w:left w:val="none" w:sz="0" w:space="0" w:color="auto"/>
        <w:bottom w:val="none" w:sz="0" w:space="0" w:color="auto"/>
        <w:right w:val="none" w:sz="0" w:space="0" w:color="auto"/>
      </w:divBdr>
    </w:div>
    <w:div w:id="1724523786">
      <w:bodyDiv w:val="1"/>
      <w:marLeft w:val="0"/>
      <w:marRight w:val="0"/>
      <w:marTop w:val="0"/>
      <w:marBottom w:val="0"/>
      <w:divBdr>
        <w:top w:val="none" w:sz="0" w:space="0" w:color="auto"/>
        <w:left w:val="none" w:sz="0" w:space="0" w:color="auto"/>
        <w:bottom w:val="none" w:sz="0" w:space="0" w:color="auto"/>
        <w:right w:val="none" w:sz="0" w:space="0" w:color="auto"/>
      </w:divBdr>
    </w:div>
    <w:div w:id="1741176468">
      <w:bodyDiv w:val="1"/>
      <w:marLeft w:val="0"/>
      <w:marRight w:val="0"/>
      <w:marTop w:val="0"/>
      <w:marBottom w:val="0"/>
      <w:divBdr>
        <w:top w:val="none" w:sz="0" w:space="0" w:color="auto"/>
        <w:left w:val="none" w:sz="0" w:space="0" w:color="auto"/>
        <w:bottom w:val="none" w:sz="0" w:space="0" w:color="auto"/>
        <w:right w:val="none" w:sz="0" w:space="0" w:color="auto"/>
      </w:divBdr>
    </w:div>
    <w:div w:id="1752891702">
      <w:bodyDiv w:val="1"/>
      <w:marLeft w:val="0"/>
      <w:marRight w:val="0"/>
      <w:marTop w:val="0"/>
      <w:marBottom w:val="0"/>
      <w:divBdr>
        <w:top w:val="none" w:sz="0" w:space="0" w:color="auto"/>
        <w:left w:val="none" w:sz="0" w:space="0" w:color="auto"/>
        <w:bottom w:val="none" w:sz="0" w:space="0" w:color="auto"/>
        <w:right w:val="none" w:sz="0" w:space="0" w:color="auto"/>
      </w:divBdr>
    </w:div>
    <w:div w:id="1755323502">
      <w:bodyDiv w:val="1"/>
      <w:marLeft w:val="0"/>
      <w:marRight w:val="0"/>
      <w:marTop w:val="0"/>
      <w:marBottom w:val="0"/>
      <w:divBdr>
        <w:top w:val="none" w:sz="0" w:space="0" w:color="auto"/>
        <w:left w:val="none" w:sz="0" w:space="0" w:color="auto"/>
        <w:bottom w:val="none" w:sz="0" w:space="0" w:color="auto"/>
        <w:right w:val="none" w:sz="0" w:space="0" w:color="auto"/>
      </w:divBdr>
    </w:div>
    <w:div w:id="1761179420">
      <w:bodyDiv w:val="1"/>
      <w:marLeft w:val="0"/>
      <w:marRight w:val="0"/>
      <w:marTop w:val="0"/>
      <w:marBottom w:val="0"/>
      <w:divBdr>
        <w:top w:val="none" w:sz="0" w:space="0" w:color="auto"/>
        <w:left w:val="none" w:sz="0" w:space="0" w:color="auto"/>
        <w:bottom w:val="none" w:sz="0" w:space="0" w:color="auto"/>
        <w:right w:val="none" w:sz="0" w:space="0" w:color="auto"/>
      </w:divBdr>
    </w:div>
    <w:div w:id="1777360075">
      <w:bodyDiv w:val="1"/>
      <w:marLeft w:val="0"/>
      <w:marRight w:val="0"/>
      <w:marTop w:val="0"/>
      <w:marBottom w:val="0"/>
      <w:divBdr>
        <w:top w:val="none" w:sz="0" w:space="0" w:color="auto"/>
        <w:left w:val="none" w:sz="0" w:space="0" w:color="auto"/>
        <w:bottom w:val="none" w:sz="0" w:space="0" w:color="auto"/>
        <w:right w:val="none" w:sz="0" w:space="0" w:color="auto"/>
      </w:divBdr>
    </w:div>
    <w:div w:id="1779981299">
      <w:bodyDiv w:val="1"/>
      <w:marLeft w:val="0"/>
      <w:marRight w:val="0"/>
      <w:marTop w:val="0"/>
      <w:marBottom w:val="0"/>
      <w:divBdr>
        <w:top w:val="none" w:sz="0" w:space="0" w:color="auto"/>
        <w:left w:val="none" w:sz="0" w:space="0" w:color="auto"/>
        <w:bottom w:val="none" w:sz="0" w:space="0" w:color="auto"/>
        <w:right w:val="none" w:sz="0" w:space="0" w:color="auto"/>
      </w:divBdr>
    </w:div>
    <w:div w:id="1785927716">
      <w:bodyDiv w:val="1"/>
      <w:marLeft w:val="0"/>
      <w:marRight w:val="0"/>
      <w:marTop w:val="0"/>
      <w:marBottom w:val="0"/>
      <w:divBdr>
        <w:top w:val="none" w:sz="0" w:space="0" w:color="auto"/>
        <w:left w:val="none" w:sz="0" w:space="0" w:color="auto"/>
        <w:bottom w:val="none" w:sz="0" w:space="0" w:color="auto"/>
        <w:right w:val="none" w:sz="0" w:space="0" w:color="auto"/>
      </w:divBdr>
    </w:div>
    <w:div w:id="1802378150">
      <w:bodyDiv w:val="1"/>
      <w:marLeft w:val="0"/>
      <w:marRight w:val="0"/>
      <w:marTop w:val="0"/>
      <w:marBottom w:val="0"/>
      <w:divBdr>
        <w:top w:val="none" w:sz="0" w:space="0" w:color="auto"/>
        <w:left w:val="none" w:sz="0" w:space="0" w:color="auto"/>
        <w:bottom w:val="none" w:sz="0" w:space="0" w:color="auto"/>
        <w:right w:val="none" w:sz="0" w:space="0" w:color="auto"/>
      </w:divBdr>
    </w:div>
    <w:div w:id="1815099167">
      <w:bodyDiv w:val="1"/>
      <w:marLeft w:val="0"/>
      <w:marRight w:val="0"/>
      <w:marTop w:val="0"/>
      <w:marBottom w:val="0"/>
      <w:divBdr>
        <w:top w:val="none" w:sz="0" w:space="0" w:color="auto"/>
        <w:left w:val="none" w:sz="0" w:space="0" w:color="auto"/>
        <w:bottom w:val="none" w:sz="0" w:space="0" w:color="auto"/>
        <w:right w:val="none" w:sz="0" w:space="0" w:color="auto"/>
      </w:divBdr>
    </w:div>
    <w:div w:id="1872183989">
      <w:bodyDiv w:val="1"/>
      <w:marLeft w:val="0"/>
      <w:marRight w:val="0"/>
      <w:marTop w:val="0"/>
      <w:marBottom w:val="0"/>
      <w:divBdr>
        <w:top w:val="none" w:sz="0" w:space="0" w:color="auto"/>
        <w:left w:val="none" w:sz="0" w:space="0" w:color="auto"/>
        <w:bottom w:val="none" w:sz="0" w:space="0" w:color="auto"/>
        <w:right w:val="none" w:sz="0" w:space="0" w:color="auto"/>
      </w:divBdr>
    </w:div>
    <w:div w:id="1890022947">
      <w:bodyDiv w:val="1"/>
      <w:marLeft w:val="0"/>
      <w:marRight w:val="0"/>
      <w:marTop w:val="0"/>
      <w:marBottom w:val="0"/>
      <w:divBdr>
        <w:top w:val="none" w:sz="0" w:space="0" w:color="auto"/>
        <w:left w:val="none" w:sz="0" w:space="0" w:color="auto"/>
        <w:bottom w:val="none" w:sz="0" w:space="0" w:color="auto"/>
        <w:right w:val="none" w:sz="0" w:space="0" w:color="auto"/>
      </w:divBdr>
    </w:div>
    <w:div w:id="1897232023">
      <w:bodyDiv w:val="1"/>
      <w:marLeft w:val="0"/>
      <w:marRight w:val="0"/>
      <w:marTop w:val="0"/>
      <w:marBottom w:val="0"/>
      <w:divBdr>
        <w:top w:val="none" w:sz="0" w:space="0" w:color="auto"/>
        <w:left w:val="none" w:sz="0" w:space="0" w:color="auto"/>
        <w:bottom w:val="none" w:sz="0" w:space="0" w:color="auto"/>
        <w:right w:val="none" w:sz="0" w:space="0" w:color="auto"/>
      </w:divBdr>
    </w:div>
    <w:div w:id="1912156354">
      <w:bodyDiv w:val="1"/>
      <w:marLeft w:val="0"/>
      <w:marRight w:val="0"/>
      <w:marTop w:val="0"/>
      <w:marBottom w:val="0"/>
      <w:divBdr>
        <w:top w:val="none" w:sz="0" w:space="0" w:color="auto"/>
        <w:left w:val="none" w:sz="0" w:space="0" w:color="auto"/>
        <w:bottom w:val="none" w:sz="0" w:space="0" w:color="auto"/>
        <w:right w:val="none" w:sz="0" w:space="0" w:color="auto"/>
      </w:divBdr>
    </w:div>
    <w:div w:id="1928532532">
      <w:bodyDiv w:val="1"/>
      <w:marLeft w:val="0"/>
      <w:marRight w:val="0"/>
      <w:marTop w:val="0"/>
      <w:marBottom w:val="0"/>
      <w:divBdr>
        <w:top w:val="none" w:sz="0" w:space="0" w:color="auto"/>
        <w:left w:val="none" w:sz="0" w:space="0" w:color="auto"/>
        <w:bottom w:val="none" w:sz="0" w:space="0" w:color="auto"/>
        <w:right w:val="none" w:sz="0" w:space="0" w:color="auto"/>
      </w:divBdr>
    </w:div>
    <w:div w:id="1950357801">
      <w:bodyDiv w:val="1"/>
      <w:marLeft w:val="0"/>
      <w:marRight w:val="0"/>
      <w:marTop w:val="0"/>
      <w:marBottom w:val="0"/>
      <w:divBdr>
        <w:top w:val="none" w:sz="0" w:space="0" w:color="auto"/>
        <w:left w:val="none" w:sz="0" w:space="0" w:color="auto"/>
        <w:bottom w:val="none" w:sz="0" w:space="0" w:color="auto"/>
        <w:right w:val="none" w:sz="0" w:space="0" w:color="auto"/>
      </w:divBdr>
    </w:div>
    <w:div w:id="1950818103">
      <w:bodyDiv w:val="1"/>
      <w:marLeft w:val="0"/>
      <w:marRight w:val="0"/>
      <w:marTop w:val="0"/>
      <w:marBottom w:val="0"/>
      <w:divBdr>
        <w:top w:val="none" w:sz="0" w:space="0" w:color="auto"/>
        <w:left w:val="none" w:sz="0" w:space="0" w:color="auto"/>
        <w:bottom w:val="none" w:sz="0" w:space="0" w:color="auto"/>
        <w:right w:val="none" w:sz="0" w:space="0" w:color="auto"/>
      </w:divBdr>
    </w:div>
    <w:div w:id="1954441080">
      <w:bodyDiv w:val="1"/>
      <w:marLeft w:val="0"/>
      <w:marRight w:val="0"/>
      <w:marTop w:val="0"/>
      <w:marBottom w:val="0"/>
      <w:divBdr>
        <w:top w:val="none" w:sz="0" w:space="0" w:color="auto"/>
        <w:left w:val="none" w:sz="0" w:space="0" w:color="auto"/>
        <w:bottom w:val="none" w:sz="0" w:space="0" w:color="auto"/>
        <w:right w:val="none" w:sz="0" w:space="0" w:color="auto"/>
      </w:divBdr>
    </w:div>
    <w:div w:id="1970696019">
      <w:bodyDiv w:val="1"/>
      <w:marLeft w:val="0"/>
      <w:marRight w:val="0"/>
      <w:marTop w:val="0"/>
      <w:marBottom w:val="0"/>
      <w:divBdr>
        <w:top w:val="none" w:sz="0" w:space="0" w:color="auto"/>
        <w:left w:val="none" w:sz="0" w:space="0" w:color="auto"/>
        <w:bottom w:val="none" w:sz="0" w:space="0" w:color="auto"/>
        <w:right w:val="none" w:sz="0" w:space="0" w:color="auto"/>
      </w:divBdr>
    </w:div>
    <w:div w:id="1975476870">
      <w:bodyDiv w:val="1"/>
      <w:marLeft w:val="0"/>
      <w:marRight w:val="0"/>
      <w:marTop w:val="0"/>
      <w:marBottom w:val="0"/>
      <w:divBdr>
        <w:top w:val="none" w:sz="0" w:space="0" w:color="auto"/>
        <w:left w:val="none" w:sz="0" w:space="0" w:color="auto"/>
        <w:bottom w:val="none" w:sz="0" w:space="0" w:color="auto"/>
        <w:right w:val="none" w:sz="0" w:space="0" w:color="auto"/>
      </w:divBdr>
    </w:div>
    <w:div w:id="1987008731">
      <w:bodyDiv w:val="1"/>
      <w:marLeft w:val="0"/>
      <w:marRight w:val="0"/>
      <w:marTop w:val="0"/>
      <w:marBottom w:val="0"/>
      <w:divBdr>
        <w:top w:val="none" w:sz="0" w:space="0" w:color="auto"/>
        <w:left w:val="none" w:sz="0" w:space="0" w:color="auto"/>
        <w:bottom w:val="none" w:sz="0" w:space="0" w:color="auto"/>
        <w:right w:val="none" w:sz="0" w:space="0" w:color="auto"/>
      </w:divBdr>
    </w:div>
    <w:div w:id="2002543063">
      <w:bodyDiv w:val="1"/>
      <w:marLeft w:val="0"/>
      <w:marRight w:val="0"/>
      <w:marTop w:val="0"/>
      <w:marBottom w:val="0"/>
      <w:divBdr>
        <w:top w:val="none" w:sz="0" w:space="0" w:color="auto"/>
        <w:left w:val="none" w:sz="0" w:space="0" w:color="auto"/>
        <w:bottom w:val="none" w:sz="0" w:space="0" w:color="auto"/>
        <w:right w:val="none" w:sz="0" w:space="0" w:color="auto"/>
      </w:divBdr>
    </w:div>
    <w:div w:id="2023051372">
      <w:bodyDiv w:val="1"/>
      <w:marLeft w:val="0"/>
      <w:marRight w:val="0"/>
      <w:marTop w:val="0"/>
      <w:marBottom w:val="0"/>
      <w:divBdr>
        <w:top w:val="none" w:sz="0" w:space="0" w:color="auto"/>
        <w:left w:val="none" w:sz="0" w:space="0" w:color="auto"/>
        <w:bottom w:val="none" w:sz="0" w:space="0" w:color="auto"/>
        <w:right w:val="none" w:sz="0" w:space="0" w:color="auto"/>
      </w:divBdr>
    </w:div>
    <w:div w:id="2025471440">
      <w:bodyDiv w:val="1"/>
      <w:marLeft w:val="0"/>
      <w:marRight w:val="0"/>
      <w:marTop w:val="0"/>
      <w:marBottom w:val="0"/>
      <w:divBdr>
        <w:top w:val="none" w:sz="0" w:space="0" w:color="auto"/>
        <w:left w:val="none" w:sz="0" w:space="0" w:color="auto"/>
        <w:bottom w:val="none" w:sz="0" w:space="0" w:color="auto"/>
        <w:right w:val="none" w:sz="0" w:space="0" w:color="auto"/>
      </w:divBdr>
    </w:div>
    <w:div w:id="2027638387">
      <w:bodyDiv w:val="1"/>
      <w:marLeft w:val="0"/>
      <w:marRight w:val="0"/>
      <w:marTop w:val="0"/>
      <w:marBottom w:val="0"/>
      <w:divBdr>
        <w:top w:val="none" w:sz="0" w:space="0" w:color="auto"/>
        <w:left w:val="none" w:sz="0" w:space="0" w:color="auto"/>
        <w:bottom w:val="none" w:sz="0" w:space="0" w:color="auto"/>
        <w:right w:val="none" w:sz="0" w:space="0" w:color="auto"/>
      </w:divBdr>
    </w:div>
    <w:div w:id="2027705091">
      <w:bodyDiv w:val="1"/>
      <w:marLeft w:val="0"/>
      <w:marRight w:val="0"/>
      <w:marTop w:val="0"/>
      <w:marBottom w:val="0"/>
      <w:divBdr>
        <w:top w:val="none" w:sz="0" w:space="0" w:color="auto"/>
        <w:left w:val="none" w:sz="0" w:space="0" w:color="auto"/>
        <w:bottom w:val="none" w:sz="0" w:space="0" w:color="auto"/>
        <w:right w:val="none" w:sz="0" w:space="0" w:color="auto"/>
      </w:divBdr>
    </w:div>
    <w:div w:id="2028019227">
      <w:bodyDiv w:val="1"/>
      <w:marLeft w:val="0"/>
      <w:marRight w:val="0"/>
      <w:marTop w:val="0"/>
      <w:marBottom w:val="0"/>
      <w:divBdr>
        <w:top w:val="none" w:sz="0" w:space="0" w:color="auto"/>
        <w:left w:val="none" w:sz="0" w:space="0" w:color="auto"/>
        <w:bottom w:val="none" w:sz="0" w:space="0" w:color="auto"/>
        <w:right w:val="none" w:sz="0" w:space="0" w:color="auto"/>
      </w:divBdr>
    </w:div>
    <w:div w:id="2029797446">
      <w:bodyDiv w:val="1"/>
      <w:marLeft w:val="0"/>
      <w:marRight w:val="0"/>
      <w:marTop w:val="0"/>
      <w:marBottom w:val="0"/>
      <w:divBdr>
        <w:top w:val="none" w:sz="0" w:space="0" w:color="auto"/>
        <w:left w:val="none" w:sz="0" w:space="0" w:color="auto"/>
        <w:bottom w:val="none" w:sz="0" w:space="0" w:color="auto"/>
        <w:right w:val="none" w:sz="0" w:space="0" w:color="auto"/>
      </w:divBdr>
    </w:div>
    <w:div w:id="2037728089">
      <w:bodyDiv w:val="1"/>
      <w:marLeft w:val="0"/>
      <w:marRight w:val="0"/>
      <w:marTop w:val="0"/>
      <w:marBottom w:val="0"/>
      <w:divBdr>
        <w:top w:val="none" w:sz="0" w:space="0" w:color="auto"/>
        <w:left w:val="none" w:sz="0" w:space="0" w:color="auto"/>
        <w:bottom w:val="none" w:sz="0" w:space="0" w:color="auto"/>
        <w:right w:val="none" w:sz="0" w:space="0" w:color="auto"/>
      </w:divBdr>
    </w:div>
    <w:div w:id="2099672518">
      <w:bodyDiv w:val="1"/>
      <w:marLeft w:val="0"/>
      <w:marRight w:val="0"/>
      <w:marTop w:val="0"/>
      <w:marBottom w:val="0"/>
      <w:divBdr>
        <w:top w:val="none" w:sz="0" w:space="0" w:color="auto"/>
        <w:left w:val="none" w:sz="0" w:space="0" w:color="auto"/>
        <w:bottom w:val="none" w:sz="0" w:space="0" w:color="auto"/>
        <w:right w:val="none" w:sz="0" w:space="0" w:color="auto"/>
      </w:divBdr>
    </w:div>
    <w:div w:id="2116245251">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 w:id="2130320854">
      <w:bodyDiv w:val="1"/>
      <w:marLeft w:val="0"/>
      <w:marRight w:val="0"/>
      <w:marTop w:val="0"/>
      <w:marBottom w:val="0"/>
      <w:divBdr>
        <w:top w:val="none" w:sz="0" w:space="0" w:color="auto"/>
        <w:left w:val="none" w:sz="0" w:space="0" w:color="auto"/>
        <w:bottom w:val="none" w:sz="0" w:space="0" w:color="auto"/>
        <w:right w:val="none" w:sz="0" w:space="0" w:color="auto"/>
      </w:divBdr>
    </w:div>
    <w:div w:id="214403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Office%202007\Reports\Day%20to%20Day%20Report%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grant\Desktop\Reporting\Template2.4_POC%20Fin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grant\Desktop\Reporting\Template2.4_POC%20Fina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tgrant\Desktop\REporting\Defect%20templateV1.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tgrant\Desktop\REporting\Defect%20template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AU"/>
              <a:t>Planned Count Vs Actual Count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'Part Summary'!$J$1</c:f>
              <c:strCache>
                <c:ptCount val="1"/>
                <c:pt idx="0">
                  <c:v>Planned till date</c:v>
                </c:pt>
              </c:strCache>
            </c:strRef>
          </c:tx>
          <c:spPr>
            <a:solidFill>
              <a:schemeClr val="accent1"/>
            </a:solidFill>
            <a:ln>
              <a:noFill/>
            </a:ln>
            <a:effectLst/>
          </c:spPr>
          <c:invertIfNegative val="0"/>
          <c:cat>
            <c:strRef>
              <c:f>'Part Summary'!$I$2:$I$9</c:f>
              <c:strCache>
                <c:ptCount val="8"/>
                <c:pt idx="0">
                  <c:v>AEMO</c:v>
                </c:pt>
                <c:pt idx="1">
                  <c:v>AGL</c:v>
                </c:pt>
                <c:pt idx="2">
                  <c:v>Citi Power</c:v>
                </c:pt>
                <c:pt idx="3">
                  <c:v>Energex</c:v>
                </c:pt>
                <c:pt idx="4">
                  <c:v>Ergon</c:v>
                </c:pt>
                <c:pt idx="5">
                  <c:v>PowerCor</c:v>
                </c:pt>
                <c:pt idx="6">
                  <c:v>SAPower</c:v>
                </c:pt>
                <c:pt idx="7">
                  <c:v>Stanwell</c:v>
                </c:pt>
              </c:strCache>
            </c:strRef>
          </c:cat>
          <c:val>
            <c:numRef>
              <c:f>'Part Summary'!$J$2:$J$9</c:f>
              <c:numCache>
                <c:formatCode>General</c:formatCode>
                <c:ptCount val="8"/>
                <c:pt idx="0">
                  <c:v>33</c:v>
                </c:pt>
                <c:pt idx="1">
                  <c:v>43</c:v>
                </c:pt>
                <c:pt idx="2">
                  <c:v>38</c:v>
                </c:pt>
                <c:pt idx="3">
                  <c:v>8</c:v>
                </c:pt>
                <c:pt idx="4">
                  <c:v>5</c:v>
                </c:pt>
                <c:pt idx="5">
                  <c:v>19</c:v>
                </c:pt>
                <c:pt idx="6">
                  <c:v>25</c:v>
                </c:pt>
                <c:pt idx="7">
                  <c:v>16</c:v>
                </c:pt>
              </c:numCache>
            </c:numRef>
          </c:val>
        </c:ser>
        <c:ser>
          <c:idx val="1"/>
          <c:order val="1"/>
          <c:tx>
            <c:strRef>
              <c:f>'Part Summary'!$K$1</c:f>
              <c:strCache>
                <c:ptCount val="1"/>
                <c:pt idx="0">
                  <c:v>Actual Exec tilldate</c:v>
                </c:pt>
              </c:strCache>
            </c:strRef>
          </c:tx>
          <c:spPr>
            <a:solidFill>
              <a:srgbClr val="92D050"/>
            </a:solidFill>
            <a:ln>
              <a:noFill/>
            </a:ln>
            <a:effectLst/>
          </c:spPr>
          <c:invertIfNegative val="0"/>
          <c:cat>
            <c:strRef>
              <c:f>'Part Summary'!$I$2:$I$9</c:f>
              <c:strCache>
                <c:ptCount val="8"/>
                <c:pt idx="0">
                  <c:v>AEMO</c:v>
                </c:pt>
                <c:pt idx="1">
                  <c:v>AGL</c:v>
                </c:pt>
                <c:pt idx="2">
                  <c:v>Citi Power</c:v>
                </c:pt>
                <c:pt idx="3">
                  <c:v>Energex</c:v>
                </c:pt>
                <c:pt idx="4">
                  <c:v>Ergon</c:v>
                </c:pt>
                <c:pt idx="5">
                  <c:v>PowerCor</c:v>
                </c:pt>
                <c:pt idx="6">
                  <c:v>SAPower</c:v>
                </c:pt>
                <c:pt idx="7">
                  <c:v>Stanwell</c:v>
                </c:pt>
              </c:strCache>
            </c:strRef>
          </c:cat>
          <c:val>
            <c:numRef>
              <c:f>'Part Summary'!$K$2:$K$9</c:f>
              <c:numCache>
                <c:formatCode>General</c:formatCode>
                <c:ptCount val="8"/>
                <c:pt idx="0">
                  <c:v>33</c:v>
                </c:pt>
                <c:pt idx="1">
                  <c:v>43</c:v>
                </c:pt>
                <c:pt idx="2">
                  <c:v>38</c:v>
                </c:pt>
                <c:pt idx="3">
                  <c:v>8</c:v>
                </c:pt>
                <c:pt idx="4">
                  <c:v>5</c:v>
                </c:pt>
                <c:pt idx="5">
                  <c:v>19</c:v>
                </c:pt>
                <c:pt idx="6">
                  <c:v>25</c:v>
                </c:pt>
                <c:pt idx="7">
                  <c:v>16</c:v>
                </c:pt>
              </c:numCache>
            </c:numRef>
          </c:val>
        </c:ser>
        <c:ser>
          <c:idx val="2"/>
          <c:order val="2"/>
          <c:tx>
            <c:strRef>
              <c:f>'Part Summary'!$L$1</c:f>
              <c:strCache>
                <c:ptCount val="1"/>
                <c:pt idx="0">
                  <c:v>Planned Total</c:v>
                </c:pt>
              </c:strCache>
            </c:strRef>
          </c:tx>
          <c:spPr>
            <a:solidFill>
              <a:srgbClr val="FF0000"/>
            </a:solidFill>
            <a:ln>
              <a:noFill/>
            </a:ln>
            <a:effectLst/>
          </c:spPr>
          <c:invertIfNegative val="0"/>
          <c:cat>
            <c:strRef>
              <c:f>'Part Summary'!$I$2:$I$9</c:f>
              <c:strCache>
                <c:ptCount val="8"/>
                <c:pt idx="0">
                  <c:v>AEMO</c:v>
                </c:pt>
                <c:pt idx="1">
                  <c:v>AGL</c:v>
                </c:pt>
                <c:pt idx="2">
                  <c:v>Citi Power</c:v>
                </c:pt>
                <c:pt idx="3">
                  <c:v>Energex</c:v>
                </c:pt>
                <c:pt idx="4">
                  <c:v>Ergon</c:v>
                </c:pt>
                <c:pt idx="5">
                  <c:v>PowerCor</c:v>
                </c:pt>
                <c:pt idx="6">
                  <c:v>SAPower</c:v>
                </c:pt>
                <c:pt idx="7">
                  <c:v>Stanwell</c:v>
                </c:pt>
              </c:strCache>
            </c:strRef>
          </c:cat>
          <c:val>
            <c:numRef>
              <c:f>'Part Summary'!$L$2:$L$9</c:f>
              <c:numCache>
                <c:formatCode>General</c:formatCode>
                <c:ptCount val="8"/>
                <c:pt idx="0">
                  <c:v>33</c:v>
                </c:pt>
                <c:pt idx="1">
                  <c:v>43</c:v>
                </c:pt>
                <c:pt idx="2">
                  <c:v>38</c:v>
                </c:pt>
                <c:pt idx="3">
                  <c:v>8</c:v>
                </c:pt>
                <c:pt idx="4">
                  <c:v>5</c:v>
                </c:pt>
                <c:pt idx="5">
                  <c:v>19</c:v>
                </c:pt>
                <c:pt idx="6">
                  <c:v>25</c:v>
                </c:pt>
                <c:pt idx="7">
                  <c:v>16</c:v>
                </c:pt>
              </c:numCache>
            </c:numRef>
          </c:val>
        </c:ser>
        <c:ser>
          <c:idx val="3"/>
          <c:order val="3"/>
          <c:tx>
            <c:strRef>
              <c:f>'Part Summary'!$M$1</c:f>
              <c:strCache>
                <c:ptCount val="1"/>
                <c:pt idx="0">
                  <c:v>Total Not exec</c:v>
                </c:pt>
              </c:strCache>
            </c:strRef>
          </c:tx>
          <c:spPr>
            <a:solidFill>
              <a:schemeClr val="accent4"/>
            </a:solidFill>
            <a:ln>
              <a:noFill/>
            </a:ln>
            <a:effectLst/>
          </c:spPr>
          <c:invertIfNegative val="0"/>
          <c:cat>
            <c:strRef>
              <c:f>'Part Summary'!$I$2:$I$9</c:f>
              <c:strCache>
                <c:ptCount val="8"/>
                <c:pt idx="0">
                  <c:v>AEMO</c:v>
                </c:pt>
                <c:pt idx="1">
                  <c:v>AGL</c:v>
                </c:pt>
                <c:pt idx="2">
                  <c:v>Citi Power</c:v>
                </c:pt>
                <c:pt idx="3">
                  <c:v>Energex</c:v>
                </c:pt>
                <c:pt idx="4">
                  <c:v>Ergon</c:v>
                </c:pt>
                <c:pt idx="5">
                  <c:v>PowerCor</c:v>
                </c:pt>
                <c:pt idx="6">
                  <c:v>SAPower</c:v>
                </c:pt>
                <c:pt idx="7">
                  <c:v>Stanwell</c:v>
                </c:pt>
              </c:strCache>
            </c:strRef>
          </c:cat>
          <c:val>
            <c:numRef>
              <c:f>'Part Summary'!$M$2:$M$9</c:f>
              <c:numCache>
                <c:formatCode>General</c:formatCode>
                <c:ptCount val="8"/>
                <c:pt idx="0">
                  <c:v>0</c:v>
                </c:pt>
                <c:pt idx="1">
                  <c:v>0</c:v>
                </c:pt>
                <c:pt idx="2">
                  <c:v>0</c:v>
                </c:pt>
                <c:pt idx="3">
                  <c:v>0</c:v>
                </c:pt>
                <c:pt idx="4">
                  <c:v>0</c:v>
                </c:pt>
                <c:pt idx="5">
                  <c:v>0</c:v>
                </c:pt>
                <c:pt idx="6">
                  <c:v>0</c:v>
                </c:pt>
                <c:pt idx="7">
                  <c:v>0</c:v>
                </c:pt>
              </c:numCache>
            </c:numRef>
          </c:val>
        </c:ser>
        <c:dLbls>
          <c:showLegendKey val="0"/>
          <c:showVal val="0"/>
          <c:showCatName val="0"/>
          <c:showSerName val="0"/>
          <c:showPercent val="0"/>
          <c:showBubbleSize val="0"/>
        </c:dLbls>
        <c:gapWidth val="219"/>
        <c:overlap val="-27"/>
        <c:axId val="248755712"/>
        <c:axId val="248756496"/>
      </c:barChart>
      <c:catAx>
        <c:axId val="248755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8756496"/>
        <c:crosses val="autoZero"/>
        <c:auto val="1"/>
        <c:lblAlgn val="ctr"/>
        <c:lblOffset val="100"/>
        <c:noMultiLvlLbl val="0"/>
      </c:catAx>
      <c:valAx>
        <c:axId val="248756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4875571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AU"/>
              <a:t>Planned % Vs Actual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21921993793329"/>
          <c:y val="0.17562696226259397"/>
          <c:w val="0.81538632139067724"/>
          <c:h val="0.54541172310846775"/>
        </c:manualLayout>
      </c:layout>
      <c:barChart>
        <c:barDir val="col"/>
        <c:grouping val="clustered"/>
        <c:varyColors val="0"/>
        <c:ser>
          <c:idx val="0"/>
          <c:order val="0"/>
          <c:tx>
            <c:strRef>
              <c:f>'Part Summary'!$O$1</c:f>
              <c:strCache>
                <c:ptCount val="1"/>
                <c:pt idx="0">
                  <c:v>Planned %</c:v>
                </c:pt>
              </c:strCache>
            </c:strRef>
          </c:tx>
          <c:spPr>
            <a:solidFill>
              <a:schemeClr val="accent1"/>
            </a:solidFill>
            <a:ln>
              <a:noFill/>
            </a:ln>
            <a:effectLst/>
          </c:spPr>
          <c:invertIfNegative val="0"/>
          <c:cat>
            <c:strRef>
              <c:f>'Part Summary'!$N$2:$N$9</c:f>
              <c:strCache>
                <c:ptCount val="8"/>
                <c:pt idx="0">
                  <c:v>AEMO</c:v>
                </c:pt>
                <c:pt idx="1">
                  <c:v>AGL</c:v>
                </c:pt>
                <c:pt idx="2">
                  <c:v>CitiPower</c:v>
                </c:pt>
                <c:pt idx="3">
                  <c:v>Energex</c:v>
                </c:pt>
                <c:pt idx="4">
                  <c:v>Ergon</c:v>
                </c:pt>
                <c:pt idx="5">
                  <c:v>PowerCor</c:v>
                </c:pt>
                <c:pt idx="6">
                  <c:v>SAPower</c:v>
                </c:pt>
                <c:pt idx="7">
                  <c:v>Stanwell</c:v>
                </c:pt>
              </c:strCache>
            </c:strRef>
          </c:cat>
          <c:val>
            <c:numRef>
              <c:f>'Part Summary'!$O$2:$O$9</c:f>
              <c:numCache>
                <c:formatCode>0.00%</c:formatCode>
                <c:ptCount val="8"/>
                <c:pt idx="0">
                  <c:v>1</c:v>
                </c:pt>
                <c:pt idx="1">
                  <c:v>1</c:v>
                </c:pt>
                <c:pt idx="2">
                  <c:v>1</c:v>
                </c:pt>
                <c:pt idx="3">
                  <c:v>1</c:v>
                </c:pt>
                <c:pt idx="4">
                  <c:v>1</c:v>
                </c:pt>
                <c:pt idx="5">
                  <c:v>1</c:v>
                </c:pt>
                <c:pt idx="6">
                  <c:v>1</c:v>
                </c:pt>
                <c:pt idx="7">
                  <c:v>1</c:v>
                </c:pt>
              </c:numCache>
            </c:numRef>
          </c:val>
        </c:ser>
        <c:ser>
          <c:idx val="1"/>
          <c:order val="1"/>
          <c:tx>
            <c:strRef>
              <c:f>'Part Summary'!$P$1</c:f>
              <c:strCache>
                <c:ptCount val="1"/>
                <c:pt idx="0">
                  <c:v>Actual Exec %</c:v>
                </c:pt>
              </c:strCache>
            </c:strRef>
          </c:tx>
          <c:spPr>
            <a:solidFill>
              <a:srgbClr val="00B050"/>
            </a:solidFill>
            <a:ln>
              <a:noFill/>
            </a:ln>
            <a:effectLst/>
          </c:spPr>
          <c:invertIfNegative val="0"/>
          <c:cat>
            <c:strRef>
              <c:f>'Part Summary'!$N$2:$N$9</c:f>
              <c:strCache>
                <c:ptCount val="8"/>
                <c:pt idx="0">
                  <c:v>AEMO</c:v>
                </c:pt>
                <c:pt idx="1">
                  <c:v>AGL</c:v>
                </c:pt>
                <c:pt idx="2">
                  <c:v>CitiPower</c:v>
                </c:pt>
                <c:pt idx="3">
                  <c:v>Energex</c:v>
                </c:pt>
                <c:pt idx="4">
                  <c:v>Ergon</c:v>
                </c:pt>
                <c:pt idx="5">
                  <c:v>PowerCor</c:v>
                </c:pt>
                <c:pt idx="6">
                  <c:v>SAPower</c:v>
                </c:pt>
                <c:pt idx="7">
                  <c:v>Stanwell</c:v>
                </c:pt>
              </c:strCache>
            </c:strRef>
          </c:cat>
          <c:val>
            <c:numRef>
              <c:f>'Part Summary'!$P$2:$P$9</c:f>
              <c:numCache>
                <c:formatCode>0.00%</c:formatCode>
                <c:ptCount val="8"/>
                <c:pt idx="0">
                  <c:v>1</c:v>
                </c:pt>
                <c:pt idx="1">
                  <c:v>1</c:v>
                </c:pt>
                <c:pt idx="2">
                  <c:v>1</c:v>
                </c:pt>
                <c:pt idx="3">
                  <c:v>1</c:v>
                </c:pt>
                <c:pt idx="4">
                  <c:v>1</c:v>
                </c:pt>
                <c:pt idx="5">
                  <c:v>1</c:v>
                </c:pt>
                <c:pt idx="6">
                  <c:v>1</c:v>
                </c:pt>
                <c:pt idx="7">
                  <c:v>1</c:v>
                </c:pt>
              </c:numCache>
            </c:numRef>
          </c:val>
        </c:ser>
        <c:dLbls>
          <c:showLegendKey val="0"/>
          <c:showVal val="0"/>
          <c:showCatName val="0"/>
          <c:showSerName val="0"/>
          <c:showPercent val="0"/>
          <c:showBubbleSize val="0"/>
        </c:dLbls>
        <c:gapWidth val="219"/>
        <c:overlap val="-27"/>
        <c:axId val="714262608"/>
        <c:axId val="714262216"/>
      </c:barChart>
      <c:catAx>
        <c:axId val="714262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4262216"/>
        <c:crosses val="autoZero"/>
        <c:auto val="1"/>
        <c:lblAlgn val="ctr"/>
        <c:lblOffset val="100"/>
        <c:noMultiLvlLbl val="0"/>
      </c:catAx>
      <c:valAx>
        <c:axId val="71426221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426260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pivotSource>
    <c:name>[Defect templateV1.xls]Sev&amp;Status!Sev&amp;Status</c:name>
    <c:fmtId val="-1"/>
  </c:pivotSource>
  <c:chart>
    <c:title>
      <c:overlay val="0"/>
    </c:title>
    <c:autoTitleDeleted val="0"/>
    <c:pivotFmts>
      <c:pivotFmt>
        <c:idx val="0"/>
        <c:marker>
          <c:symbol val="none"/>
        </c:marker>
      </c:pivotFmt>
      <c:pivotFmt>
        <c:idx val="1"/>
        <c:marker>
          <c:symbol val="none"/>
        </c:marker>
      </c:pivotFmt>
      <c:pivotFmt>
        <c:idx val="2"/>
        <c:marker>
          <c:symbol val="none"/>
        </c:marker>
      </c:pivotFmt>
    </c:pivotFmts>
    <c:plotArea>
      <c:layout/>
      <c:barChart>
        <c:barDir val="col"/>
        <c:grouping val="clustered"/>
        <c:varyColors val="0"/>
        <c:ser>
          <c:idx val="0"/>
          <c:order val="0"/>
          <c:tx>
            <c:strRef>
              <c:f>'Sev&amp;Status'!$B$2:$B$3</c:f>
              <c:strCache>
                <c:ptCount val="1"/>
                <c:pt idx="0">
                  <c:v>Rejected</c:v>
                </c:pt>
              </c:strCache>
            </c:strRef>
          </c:tx>
          <c:invertIfNegative val="0"/>
          <c:cat>
            <c:strRef>
              <c:f>'Sev&amp;Status'!$A$4:$A$5</c:f>
              <c:strCache>
                <c:ptCount val="1"/>
                <c:pt idx="0">
                  <c:v>2-Medium</c:v>
                </c:pt>
              </c:strCache>
            </c:strRef>
          </c:cat>
          <c:val>
            <c:numRef>
              <c:f>'Sev&amp;Status'!$B$4:$B$5</c:f>
              <c:numCache>
                <c:formatCode>General</c:formatCode>
                <c:ptCount val="1"/>
                <c:pt idx="0">
                  <c:v>2</c:v>
                </c:pt>
              </c:numCache>
            </c:numRef>
          </c:val>
        </c:ser>
        <c:dLbls>
          <c:showLegendKey val="0"/>
          <c:showVal val="0"/>
          <c:showCatName val="0"/>
          <c:showSerName val="0"/>
          <c:showPercent val="0"/>
          <c:showBubbleSize val="0"/>
        </c:dLbls>
        <c:gapWidth val="219"/>
        <c:overlap val="-27"/>
        <c:axId val="647845200"/>
        <c:axId val="478328344"/>
      </c:barChart>
      <c:catAx>
        <c:axId val="647845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en-US"/>
          </a:p>
        </c:txPr>
        <c:crossAx val="478328344"/>
        <c:crosses val="autoZero"/>
        <c:auto val="0"/>
        <c:lblAlgn val="ctr"/>
        <c:lblOffset val="100"/>
        <c:noMultiLvlLbl val="0"/>
      </c:catAx>
      <c:valAx>
        <c:axId val="478328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0" vert="horz"/>
          <a:lstStyle/>
          <a:p>
            <a:pPr>
              <a:defRPr sz="900" b="0" i="0" u="none" strike="noStrike" baseline="0">
                <a:solidFill>
                  <a:srgbClr val="333333"/>
                </a:solidFill>
                <a:latin typeface="Calibri"/>
                <a:ea typeface="Calibri"/>
                <a:cs typeface="Calibri"/>
              </a:defRPr>
            </a:pPr>
            <a:endParaRPr lang="en-US"/>
          </a:p>
        </c:txPr>
        <c:crossAx val="647845200"/>
        <c:crosses val="autoZero"/>
        <c:crossBetween val="between"/>
      </c:valAx>
      <c:dTable>
        <c:showHorzBorder val="1"/>
        <c:showVertBorder val="1"/>
        <c:showOutline val="1"/>
        <c:showKeys val="1"/>
      </c:dTable>
      <c:spPr>
        <a:noFill/>
        <a:ln w="25400">
          <a:noFill/>
        </a:ln>
      </c:spPr>
    </c:plotArea>
    <c:legend>
      <c:legendPos val="r"/>
      <c:overlay val="0"/>
      <c:spPr>
        <a:noFill/>
        <a:ln w="25400">
          <a:noFill/>
        </a:ln>
      </c:spPr>
      <c:txPr>
        <a:bodyPr/>
        <a:lstStyle/>
        <a:p>
          <a:pPr>
            <a:defRPr sz="755" b="0" i="0" u="none" strike="noStrike" baseline="0">
              <a:solidFill>
                <a:srgbClr val="333333"/>
              </a:solidFill>
              <a:latin typeface="Calibri"/>
              <a:ea typeface="Calibri"/>
              <a:cs typeface="Calibri"/>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pivotSource>
    <c:name>[Defect templateV1.xls]Participants&amp;Sev!Participants Vs Severity</c:name>
    <c:fmtId val="-1"/>
  </c:pivotSource>
  <c:chart>
    <c:title>
      <c:tx>
        <c:rich>
          <a:bodyPr/>
          <a:lstStyle/>
          <a:p>
            <a:pPr>
              <a:defRPr/>
            </a:pPr>
            <a:r>
              <a:rPr lang="en-AU"/>
              <a:t>Participants Vs</a:t>
            </a:r>
            <a:r>
              <a:rPr lang="en-AU" baseline="0"/>
              <a:t> Severity</a:t>
            </a:r>
            <a:endParaRPr lang="en-AU"/>
          </a:p>
        </c:rich>
      </c:tx>
      <c:overlay val="0"/>
    </c:title>
    <c:autoTitleDeleted val="0"/>
    <c:pivotFmts>
      <c:pivotFmt>
        <c:idx val="0"/>
        <c:marker>
          <c:symbol val="none"/>
        </c:marker>
      </c:pivotFmt>
      <c:pivotFmt>
        <c:idx val="1"/>
        <c:marker>
          <c:symbol val="none"/>
        </c:marker>
      </c:pivotFmt>
      <c:pivotFmt>
        <c:idx val="2"/>
        <c:marker>
          <c:symbol val="none"/>
        </c:marker>
      </c:pivotFmt>
    </c:pivotFmts>
    <c:plotArea>
      <c:layout/>
      <c:barChart>
        <c:barDir val="col"/>
        <c:grouping val="clustered"/>
        <c:varyColors val="0"/>
        <c:ser>
          <c:idx val="0"/>
          <c:order val="0"/>
          <c:tx>
            <c:strRef>
              <c:f>'Participants&amp;Sev'!$B$1:$B$2</c:f>
              <c:strCache>
                <c:ptCount val="1"/>
                <c:pt idx="0">
                  <c:v>2-Medium</c:v>
                </c:pt>
              </c:strCache>
            </c:strRef>
          </c:tx>
          <c:invertIfNegative val="0"/>
          <c:cat>
            <c:strRef>
              <c:f>'Participants&amp;Sev'!$A$3:$A$4</c:f>
              <c:strCache>
                <c:ptCount val="1"/>
                <c:pt idx="0">
                  <c:v>aemo1</c:v>
                </c:pt>
              </c:strCache>
            </c:strRef>
          </c:cat>
          <c:val>
            <c:numRef>
              <c:f>'Participants&amp;Sev'!$B$3:$B$4</c:f>
              <c:numCache>
                <c:formatCode>General</c:formatCode>
                <c:ptCount val="1"/>
                <c:pt idx="0">
                  <c:v>2</c:v>
                </c:pt>
              </c:numCache>
            </c:numRef>
          </c:val>
        </c:ser>
        <c:dLbls>
          <c:showLegendKey val="0"/>
          <c:showVal val="0"/>
          <c:showCatName val="0"/>
          <c:showSerName val="0"/>
          <c:showPercent val="0"/>
          <c:showBubbleSize val="0"/>
        </c:dLbls>
        <c:gapWidth val="219"/>
        <c:overlap val="-27"/>
        <c:axId val="643464368"/>
        <c:axId val="643464760"/>
      </c:barChart>
      <c:catAx>
        <c:axId val="643464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en-US"/>
          </a:p>
        </c:txPr>
        <c:crossAx val="643464760"/>
        <c:crosses val="autoZero"/>
        <c:auto val="0"/>
        <c:lblAlgn val="ctr"/>
        <c:lblOffset val="100"/>
        <c:noMultiLvlLbl val="0"/>
      </c:catAx>
      <c:valAx>
        <c:axId val="643464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0" vert="horz"/>
          <a:lstStyle/>
          <a:p>
            <a:pPr>
              <a:defRPr sz="900" b="0" i="0" u="none" strike="noStrike" baseline="0">
                <a:solidFill>
                  <a:srgbClr val="333333"/>
                </a:solidFill>
                <a:latin typeface="Calibri"/>
                <a:ea typeface="Calibri"/>
                <a:cs typeface="Calibri"/>
              </a:defRPr>
            </a:pPr>
            <a:endParaRPr lang="en-US"/>
          </a:p>
        </c:txPr>
        <c:crossAx val="643464368"/>
        <c:crosses val="autoZero"/>
        <c:crossBetween val="between"/>
      </c:valAx>
      <c:dTable>
        <c:showHorzBorder val="1"/>
        <c:showVertBorder val="1"/>
        <c:showOutline val="1"/>
        <c:showKeys val="1"/>
      </c:dTable>
      <c:spPr>
        <a:noFill/>
        <a:ln w="25400">
          <a:noFill/>
        </a:ln>
      </c:spPr>
    </c:plotArea>
    <c:legend>
      <c:legendPos val="r"/>
      <c:overlay val="0"/>
      <c:spPr>
        <a:noFill/>
        <a:ln w="25400">
          <a:noFill/>
        </a:ln>
      </c:spPr>
      <c:txPr>
        <a:bodyPr/>
        <a:lstStyle/>
        <a:p>
          <a:pPr>
            <a:defRPr sz="755" b="0" i="0" u="none" strike="noStrike" baseline="0">
              <a:solidFill>
                <a:srgbClr val="333333"/>
              </a:solidFill>
              <a:latin typeface="Calibri"/>
              <a:ea typeface="Calibri"/>
              <a:cs typeface="Calibri"/>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en-US"/>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Enter Date</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AEMODocument" ma:contentTypeID="0x0101009BE89D58CAF0934CA32A20BCFFD353DC00B95123692770FB4980DC2CC652A047B9" ma:contentTypeVersion="29" ma:contentTypeDescription="" ma:contentTypeScope="" ma:versionID="b6787f12a06f63f64cfa77971e544e32">
  <xsd:schema xmlns:xsd="http://www.w3.org/2001/XMLSchema" xmlns:xs="http://www.w3.org/2001/XMLSchema" xmlns:p="http://schemas.microsoft.com/office/2006/metadata/properties" xmlns:ns2="a14523ce-dede-483e-883a-2d83261080bd" targetNamespace="http://schemas.microsoft.com/office/2006/metadata/properties" ma:root="true" ma:fieldsID="b00c0c1949c708cab3d498fc2fcfc51c"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6f248e4a-4c7d-42bf-8f42-cec674d4b6be}" ma:internalName="TaxCatchAll" ma:showField="CatchAllData"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6f248e4a-4c7d-42bf-8f42-cec674d4b6be}" ma:internalName="TaxCatchAllLabel" ma:readOnly="true" ma:showField="CatchAllDataLabel" ma:web="5b7e274a-7034-484c-8d93-9623ebfe3503">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6;#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409ac0fb-07cb-4169-8a26-def2760b5502" ContentTypeId="0x0101009BE89D58CAF0934CA32A20BCFFD353DC" PreviousValue="false"/>
</file>

<file path=customXml/item6.xml><?xml version="1.0" encoding="utf-8"?>
<p:properties xmlns:p="http://schemas.microsoft.com/office/2006/metadata/properties" xmlns:xsi="http://www.w3.org/2001/XMLSchema-instance" xmlns:pc="http://schemas.microsoft.com/office/infopath/2007/PartnerControls">
  <documentManagement>
    <AEMODescription xmlns="a14523ce-dede-483e-883a-2d83261080bd" xsi:nil="true"/>
    <ArchiveDocument xmlns="a14523ce-dede-483e-883a-2d83261080bd">false</ArchiveDocument>
    <AEMOCustodian xmlns="a14523ce-dede-483e-883a-2d83261080bd">
      <UserInfo>
        <DisplayName/>
        <AccountId xsi:nil="true"/>
        <AccountType/>
      </UserInfo>
    </AEMOCustodian>
    <_dlc_DocId xmlns="a14523ce-dede-483e-883a-2d83261080bd">RETAILMARKET-14-4223</_dlc_DocId>
    <_dlc_DocIdUrl xmlns="a14523ce-dede-483e-883a-2d83261080bd">
      <Url>http://sharedocs/sites/rmm/_layouts/15/DocIdRedir.aspx?ID=RETAILMARKET-14-4223</Url>
      <Description>RETAILMARKET-14-4223</Description>
    </_dlc_DocIdUrl>
    <AEMODocumentTypeTaxHTField0 xmlns="a14523ce-dede-483e-883a-2d83261080bd">
      <Terms xmlns="http://schemas.microsoft.com/office/infopath/2007/PartnerControls">
        <TermInfo xmlns="http://schemas.microsoft.com/office/infopath/2007/PartnerControls">
          <TermName xmlns="http://schemas.microsoft.com/office/infopath/2007/PartnerControls">Publication</TermName>
          <TermId xmlns="http://schemas.microsoft.com/office/infopath/2007/PartnerControls">8ae4cf81-fd7c-4b5d-880f-3ad9d29fca1a</TermId>
        </TermInfo>
      </Terms>
    </AEMODocumentTypeTaxHTField0>
    <AEMOKeywordsTaxHTField0 xmlns="a14523ce-dede-483e-883a-2d83261080bd">
      <Terms xmlns="http://schemas.microsoft.com/office/infopath/2007/PartnerControls"/>
    </AEMOKeywordsTaxHTField0>
    <TaxCatchAll xmlns="a14523ce-dede-483e-883a-2d83261080bd">
      <Value>14</Value>
    </TaxCatchAl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8.xml><?xml version="1.0" encoding="utf-8"?>
<LongProperties xmlns="http://schemas.microsoft.com/office/2006/metadata/long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F727DC-7B74-4845-99B1-6269BA1C8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65291-07B5-46E5-A1E6-E5768A7EC8CD}">
  <ds:schemaRefs>
    <ds:schemaRef ds:uri="http://schemas.microsoft.com/office/2006/metadata/customXsn"/>
  </ds:schemaRefs>
</ds:datastoreItem>
</file>

<file path=customXml/itemProps4.xml><?xml version="1.0" encoding="utf-8"?>
<ds:datastoreItem xmlns:ds="http://schemas.openxmlformats.org/officeDocument/2006/customXml" ds:itemID="{9C599791-8267-4206-8891-8FBCC1FF79C1}">
  <ds:schemaRefs>
    <ds:schemaRef ds:uri="http://schemas.microsoft.com/sharepoint/v3/contenttype/forms"/>
  </ds:schemaRefs>
</ds:datastoreItem>
</file>

<file path=customXml/itemProps5.xml><?xml version="1.0" encoding="utf-8"?>
<ds:datastoreItem xmlns:ds="http://schemas.openxmlformats.org/officeDocument/2006/customXml" ds:itemID="{C9155EFD-87CD-41AE-B6A8-CC6E2AA2BD08}">
  <ds:schemaRefs>
    <ds:schemaRef ds:uri="Microsoft.SharePoint.Taxonomy.ContentTypeSync"/>
  </ds:schemaRefs>
</ds:datastoreItem>
</file>

<file path=customXml/itemProps6.xml><?xml version="1.0" encoding="utf-8"?>
<ds:datastoreItem xmlns:ds="http://schemas.openxmlformats.org/officeDocument/2006/customXml" ds:itemID="{FAEF62E7-B055-424F-9A47-95E1E4B85C78}">
  <ds:schemaRefs>
    <ds:schemaRef ds:uri="http://schemas.microsoft.com/office/2006/metadata/properties"/>
    <ds:schemaRef ds:uri="http://schemas.microsoft.com/office/infopath/2007/PartnerControls"/>
    <ds:schemaRef ds:uri="a14523ce-dede-483e-883a-2d83261080bd"/>
  </ds:schemaRefs>
</ds:datastoreItem>
</file>

<file path=customXml/itemProps7.xml><?xml version="1.0" encoding="utf-8"?>
<ds:datastoreItem xmlns:ds="http://schemas.openxmlformats.org/officeDocument/2006/customXml" ds:itemID="{F1B97D85-C7BB-44F7-A1BE-52B5B6BFC3EF}">
  <ds:schemaRefs>
    <ds:schemaRef ds:uri="http://schemas.microsoft.com/sharepoint/events"/>
  </ds:schemaRefs>
</ds:datastoreItem>
</file>

<file path=customXml/itemProps8.xml><?xml version="1.0" encoding="utf-8"?>
<ds:datastoreItem xmlns:ds="http://schemas.openxmlformats.org/officeDocument/2006/customXml" ds:itemID="{1E3DAE80-75E6-45C5-A8E0-5F09D3717A7B}">
  <ds:schemaRefs>
    <ds:schemaRef ds:uri="http://schemas.microsoft.com/office/2006/metadata/longProperties"/>
  </ds:schemaRefs>
</ds:datastoreItem>
</file>

<file path=customXml/itemProps9.xml><?xml version="1.0" encoding="utf-8"?>
<ds:datastoreItem xmlns:ds="http://schemas.openxmlformats.org/officeDocument/2006/customXml" ds:itemID="{B7CB849B-2F99-4D23-9A34-ED960865D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Day to Day Report Template</Template>
  <TotalTime>55</TotalTime>
  <Pages>10</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AEMO</Company>
  <LinksUpToDate>false</LinksUpToDate>
  <CharactersWithSpaces>7114</CharactersWithSpaces>
  <SharedDoc>false</SharedDoc>
  <HLinks>
    <vt:vector size="48" baseType="variant">
      <vt:variant>
        <vt:i4>1376305</vt:i4>
      </vt:variant>
      <vt:variant>
        <vt:i4>44</vt:i4>
      </vt:variant>
      <vt:variant>
        <vt:i4>0</vt:i4>
      </vt:variant>
      <vt:variant>
        <vt:i4>5</vt:i4>
      </vt:variant>
      <vt:variant>
        <vt:lpwstr/>
      </vt:variant>
      <vt:variant>
        <vt:lpwstr>_Toc346615551</vt:lpwstr>
      </vt:variant>
      <vt:variant>
        <vt:i4>1376305</vt:i4>
      </vt:variant>
      <vt:variant>
        <vt:i4>38</vt:i4>
      </vt:variant>
      <vt:variant>
        <vt:i4>0</vt:i4>
      </vt:variant>
      <vt:variant>
        <vt:i4>5</vt:i4>
      </vt:variant>
      <vt:variant>
        <vt:lpwstr/>
      </vt:variant>
      <vt:variant>
        <vt:lpwstr>_Toc346615550</vt:lpwstr>
      </vt:variant>
      <vt:variant>
        <vt:i4>1310769</vt:i4>
      </vt:variant>
      <vt:variant>
        <vt:i4>32</vt:i4>
      </vt:variant>
      <vt:variant>
        <vt:i4>0</vt:i4>
      </vt:variant>
      <vt:variant>
        <vt:i4>5</vt:i4>
      </vt:variant>
      <vt:variant>
        <vt:lpwstr/>
      </vt:variant>
      <vt:variant>
        <vt:lpwstr>_Toc346615549</vt:lpwstr>
      </vt:variant>
      <vt:variant>
        <vt:i4>1310769</vt:i4>
      </vt:variant>
      <vt:variant>
        <vt:i4>26</vt:i4>
      </vt:variant>
      <vt:variant>
        <vt:i4>0</vt:i4>
      </vt:variant>
      <vt:variant>
        <vt:i4>5</vt:i4>
      </vt:variant>
      <vt:variant>
        <vt:lpwstr/>
      </vt:variant>
      <vt:variant>
        <vt:lpwstr>_Toc346615548</vt:lpwstr>
      </vt:variant>
      <vt:variant>
        <vt:i4>1310769</vt:i4>
      </vt:variant>
      <vt:variant>
        <vt:i4>20</vt:i4>
      </vt:variant>
      <vt:variant>
        <vt:i4>0</vt:i4>
      </vt:variant>
      <vt:variant>
        <vt:i4>5</vt:i4>
      </vt:variant>
      <vt:variant>
        <vt:lpwstr/>
      </vt:variant>
      <vt:variant>
        <vt:lpwstr>_Toc346615547</vt:lpwstr>
      </vt:variant>
      <vt:variant>
        <vt:i4>1310769</vt:i4>
      </vt:variant>
      <vt:variant>
        <vt:i4>14</vt:i4>
      </vt:variant>
      <vt:variant>
        <vt:i4>0</vt:i4>
      </vt:variant>
      <vt:variant>
        <vt:i4>5</vt:i4>
      </vt:variant>
      <vt:variant>
        <vt:lpwstr/>
      </vt:variant>
      <vt:variant>
        <vt:lpwstr>_Toc346615546</vt:lpwstr>
      </vt:variant>
      <vt:variant>
        <vt:i4>1310769</vt:i4>
      </vt:variant>
      <vt:variant>
        <vt:i4>8</vt:i4>
      </vt:variant>
      <vt:variant>
        <vt:i4>0</vt:i4>
      </vt:variant>
      <vt:variant>
        <vt:i4>5</vt:i4>
      </vt:variant>
      <vt:variant>
        <vt:lpwstr/>
      </vt:variant>
      <vt:variant>
        <vt:lpwstr>_Toc346615545</vt:lpwstr>
      </vt:variant>
      <vt:variant>
        <vt:i4>1310769</vt:i4>
      </vt:variant>
      <vt:variant>
        <vt:i4>2</vt:i4>
      </vt:variant>
      <vt:variant>
        <vt:i4>0</vt:i4>
      </vt:variant>
      <vt:variant>
        <vt:i4>5</vt:i4>
      </vt:variant>
      <vt:variant>
        <vt:lpwstr/>
      </vt:variant>
      <vt:variant>
        <vt:lpwstr>_Toc346615544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anambiar</dc:creator>
  <cp:keywords>Enter Document Ref</cp:keywords>
  <dc:description/>
  <cp:lastModifiedBy>Sumathi Chatna</cp:lastModifiedBy>
  <cp:revision>8</cp:revision>
  <cp:lastPrinted>2015-08-26T07:31:00Z</cp:lastPrinted>
  <dcterms:created xsi:type="dcterms:W3CDTF">2017-07-03T04:23:00Z</dcterms:created>
  <dcterms:modified xsi:type="dcterms:W3CDTF">2017-07-03T05:39:00Z</dcterms:modified>
  <cp:contentStatus>DRAFT/FINAL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Reference">
    <vt:lpwstr>Update Custom Document Ref</vt:lpwstr>
  </property>
  <property fmtid="{D5CDD505-2E9C-101B-9397-08002B2CF9AE}" pid="3" name="Date">
    <vt:lpwstr>Update Custom Document Date</vt:lpwstr>
  </property>
  <property fmtid="{D5CDD505-2E9C-101B-9397-08002B2CF9AE}" pid="4" name="Version">
    <vt:lpwstr>Update Custom Document Version</vt:lpwstr>
  </property>
  <property fmtid="{D5CDD505-2E9C-101B-9397-08002B2CF9AE}" pid="5" name="_dlc_DocId">
    <vt:lpwstr>CORPDEV-19-487</vt:lpwstr>
  </property>
  <property fmtid="{D5CDD505-2E9C-101B-9397-08002B2CF9AE}" pid="6" name="_dlc_DocIdItemGuid">
    <vt:lpwstr>82de64c9-fddd-45d4-9b69-2533b7b80671</vt:lpwstr>
  </property>
  <property fmtid="{D5CDD505-2E9C-101B-9397-08002B2CF9AE}" pid="7" name="_dlc_DocIdUrl">
    <vt:lpwstr>http://sharedocs/sites/cd/MC/_layouts/DocIdRedir.aspx?ID=CORPDEV-19-487, CORPDEV-19-487</vt:lpwstr>
  </property>
  <property fmtid="{D5CDD505-2E9C-101B-9397-08002B2CF9AE}" pid="8" name="AEMODocumentTypeTaxHTField0">
    <vt:lpwstr/>
  </property>
  <property fmtid="{D5CDD505-2E9C-101B-9397-08002B2CF9AE}" pid="9" name="AEMOKeywordsTaxHTField0">
    <vt:lpwstr/>
  </property>
  <property fmtid="{D5CDD505-2E9C-101B-9397-08002B2CF9AE}" pid="10" name="TaxCatchAll">
    <vt:lpwstr/>
  </property>
  <property fmtid="{D5CDD505-2E9C-101B-9397-08002B2CF9AE}" pid="11" name="AEMODescription">
    <vt:lpwstr/>
  </property>
  <property fmtid="{D5CDD505-2E9C-101B-9397-08002B2CF9AE}" pid="12" name="AEMOKeywords">
    <vt:lpwstr/>
  </property>
  <property fmtid="{D5CDD505-2E9C-101B-9397-08002B2CF9AE}" pid="13" name="ArchiveDocument">
    <vt:lpwstr>0</vt:lpwstr>
  </property>
  <property fmtid="{D5CDD505-2E9C-101B-9397-08002B2CF9AE}" pid="14" name="AEMOCustodian">
    <vt:lpwstr/>
  </property>
  <property fmtid="{D5CDD505-2E9C-101B-9397-08002B2CF9AE}" pid="15" name="AEMOOriginalURL">
    <vt:lpwstr/>
  </property>
  <property fmtid="{D5CDD505-2E9C-101B-9397-08002B2CF9AE}" pid="16" name="ContentTypeId">
    <vt:lpwstr>0x0101009BE89D58CAF0934CA32A20BCFFD353DC00B95123692770FB4980DC2CC652A047B9</vt:lpwstr>
  </property>
  <property fmtid="{D5CDD505-2E9C-101B-9397-08002B2CF9AE}" pid="17" name="AEMODocumentType">
    <vt:lpwstr>14;#Publication|8ae4cf81-fd7c-4b5d-880f-3ad9d29fca1a</vt:lpwstr>
  </property>
</Properties>
</file>